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202F38D5" w:rsidR="00D82C18" w:rsidRPr="007B2908" w:rsidRDefault="007B2908" w:rsidP="000F7896">
      <w:pPr>
        <w:rPr>
          <w:rFonts w:ascii="Verdana" w:hAnsi="Verdana"/>
          <w:lang w:val="sr-Latn-RS"/>
        </w:rPr>
      </w:pPr>
      <w:r w:rsidRPr="007B2908">
        <w:rPr>
          <w:rFonts w:ascii="Verdana" w:hAnsi="Verdana"/>
          <w:sz w:val="28"/>
          <w:szCs w:val="28"/>
          <w:lang w:val="sr-Latn-RS"/>
        </w:rPr>
        <w:t>Lekcija</w:t>
      </w:r>
      <w:r w:rsidR="00B3608C" w:rsidRPr="007B2908">
        <w:rPr>
          <w:rFonts w:ascii="Verdana" w:hAnsi="Verdana"/>
          <w:sz w:val="28"/>
          <w:szCs w:val="28"/>
          <w:lang w:val="sr-Latn-RS"/>
        </w:rPr>
        <w:t xml:space="preserve"> </w:t>
      </w:r>
      <w:r w:rsidR="00A439ED" w:rsidRPr="007B2908">
        <w:rPr>
          <w:rFonts w:ascii="Verdana" w:hAnsi="Verdana"/>
          <w:sz w:val="28"/>
          <w:szCs w:val="28"/>
          <w:lang w:val="sr-Latn-RS"/>
        </w:rPr>
        <w:t>1</w:t>
      </w:r>
      <w:r w:rsidR="00C70C5C" w:rsidRPr="007B2908">
        <w:rPr>
          <w:rFonts w:ascii="Verdana" w:hAnsi="Verdana"/>
          <w:sz w:val="28"/>
          <w:szCs w:val="28"/>
          <w:lang w:val="sr-Latn-RS"/>
        </w:rPr>
        <w:t>.</w:t>
      </w:r>
      <w:r w:rsidR="00A439ED" w:rsidRPr="007B2908">
        <w:rPr>
          <w:rFonts w:ascii="Verdana" w:hAnsi="Verdana"/>
          <w:sz w:val="28"/>
          <w:szCs w:val="28"/>
          <w:lang w:val="sr-Latn-RS"/>
        </w:rPr>
        <w:t xml:space="preserve">6 </w:t>
      </w:r>
      <w:r>
        <w:rPr>
          <w:rFonts w:ascii="Verdana" w:hAnsi="Verdana"/>
          <w:color w:val="000000" w:themeColor="text1"/>
          <w:sz w:val="28"/>
          <w:szCs w:val="28"/>
          <w:lang w:val="sr-Latn-RS"/>
        </w:rPr>
        <w:t>Budimpeštanska konvencija: Opšti pregled</w:t>
      </w:r>
      <w:r w:rsidR="00A439ED" w:rsidRPr="007B2908">
        <w:rPr>
          <w:rFonts w:ascii="Verdana" w:hAnsi="Verdana"/>
          <w:color w:val="000000" w:themeColor="text1"/>
          <w:sz w:val="28"/>
          <w:szCs w:val="28"/>
          <w:lang w:val="sr-Latn-RS"/>
        </w:rPr>
        <w:t xml:space="preserve"> </w:t>
      </w:r>
    </w:p>
    <w:p w14:paraId="1D0E3DC5" w14:textId="77777777" w:rsidR="00C115FC" w:rsidRPr="007B2908" w:rsidRDefault="00C115FC" w:rsidP="00C115FC">
      <w:pPr>
        <w:ind w:left="360"/>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7B2908" w14:paraId="58A3485E" w14:textId="77777777" w:rsidTr="00F1574D">
        <w:trPr>
          <w:trHeight w:val="872"/>
        </w:trPr>
        <w:tc>
          <w:tcPr>
            <w:tcW w:w="6845" w:type="dxa"/>
            <w:gridSpan w:val="2"/>
            <w:shd w:val="clear" w:color="auto" w:fill="DEEAF6" w:themeFill="accent5" w:themeFillTint="33"/>
            <w:vAlign w:val="center"/>
          </w:tcPr>
          <w:p w14:paraId="0067FF35" w14:textId="6B4DD467" w:rsidR="00D82C18" w:rsidRPr="007B2908" w:rsidRDefault="007B2908" w:rsidP="007B2908">
            <w:pPr>
              <w:rPr>
                <w:rFonts w:ascii="Verdana" w:hAnsi="Verdana"/>
                <w:sz w:val="22"/>
                <w:szCs w:val="22"/>
                <w:lang w:val="sr-Latn-RS"/>
              </w:rPr>
            </w:pPr>
            <w:r>
              <w:rPr>
                <w:rFonts w:ascii="Verdana" w:hAnsi="Verdana"/>
                <w:sz w:val="22"/>
                <w:szCs w:val="22"/>
                <w:lang w:val="sr-Latn-RS"/>
              </w:rPr>
              <w:t>Lekcija</w:t>
            </w:r>
            <w:r w:rsidR="00C115FC" w:rsidRPr="007B2908">
              <w:rPr>
                <w:rFonts w:ascii="Verdana" w:hAnsi="Verdana"/>
                <w:sz w:val="22"/>
                <w:szCs w:val="22"/>
                <w:lang w:val="sr-Latn-RS"/>
              </w:rPr>
              <w:t xml:space="preserve"> </w:t>
            </w:r>
            <w:r w:rsidR="00A439ED" w:rsidRPr="007B2908">
              <w:rPr>
                <w:rFonts w:ascii="Verdana" w:hAnsi="Verdana"/>
                <w:sz w:val="22"/>
                <w:szCs w:val="22"/>
                <w:lang w:val="sr-Latn-RS"/>
              </w:rPr>
              <w:t>1</w:t>
            </w:r>
            <w:r w:rsidR="00C70C5C" w:rsidRPr="007B2908">
              <w:rPr>
                <w:rFonts w:ascii="Verdana" w:hAnsi="Verdana"/>
                <w:sz w:val="22"/>
                <w:szCs w:val="22"/>
                <w:lang w:val="sr-Latn-RS"/>
              </w:rPr>
              <w:t>.</w:t>
            </w:r>
            <w:r w:rsidR="00A439ED" w:rsidRPr="007B2908">
              <w:rPr>
                <w:rFonts w:ascii="Verdana" w:hAnsi="Verdana"/>
                <w:sz w:val="22"/>
                <w:szCs w:val="22"/>
                <w:lang w:val="sr-Latn-RS"/>
              </w:rPr>
              <w:t xml:space="preserve">6 </w:t>
            </w:r>
            <w:r>
              <w:rPr>
                <w:rFonts w:ascii="Verdana" w:hAnsi="Verdana"/>
                <w:sz w:val="22"/>
                <w:szCs w:val="22"/>
                <w:lang w:val="sr-Latn-RS"/>
              </w:rPr>
              <w:t>Budimpeštanska konvencija: Opšti pregled</w:t>
            </w:r>
          </w:p>
        </w:tc>
        <w:tc>
          <w:tcPr>
            <w:tcW w:w="2165" w:type="dxa"/>
            <w:shd w:val="clear" w:color="auto" w:fill="DEEAF6" w:themeFill="accent5" w:themeFillTint="33"/>
            <w:vAlign w:val="center"/>
          </w:tcPr>
          <w:p w14:paraId="30B631DA" w14:textId="7C2C345D" w:rsidR="00D82C18" w:rsidRPr="007B2908" w:rsidRDefault="007B2908" w:rsidP="007B2908">
            <w:pPr>
              <w:rPr>
                <w:rFonts w:ascii="Verdana" w:hAnsi="Verdana"/>
                <w:sz w:val="22"/>
                <w:szCs w:val="22"/>
                <w:lang w:val="sr-Latn-RS"/>
              </w:rPr>
            </w:pPr>
            <w:r>
              <w:rPr>
                <w:rFonts w:ascii="Verdana" w:hAnsi="Verdana"/>
                <w:sz w:val="22"/>
                <w:szCs w:val="22"/>
                <w:lang w:val="sr-Latn-RS"/>
              </w:rPr>
              <w:t>Trajanje</w:t>
            </w:r>
            <w:r w:rsidR="00D82C18" w:rsidRPr="007B2908">
              <w:rPr>
                <w:rFonts w:ascii="Verdana" w:hAnsi="Verdana"/>
                <w:sz w:val="22"/>
                <w:szCs w:val="22"/>
                <w:lang w:val="sr-Latn-RS"/>
              </w:rPr>
              <w:t xml:space="preserve">: </w:t>
            </w:r>
            <w:r w:rsidR="00A439ED" w:rsidRPr="007B2908">
              <w:rPr>
                <w:rFonts w:ascii="Verdana" w:hAnsi="Verdana"/>
                <w:color w:val="000000" w:themeColor="text1"/>
                <w:sz w:val="22"/>
                <w:szCs w:val="22"/>
                <w:lang w:val="sr-Latn-RS"/>
              </w:rPr>
              <w:t xml:space="preserve">45 </w:t>
            </w:r>
            <w:r>
              <w:rPr>
                <w:rFonts w:ascii="Verdana" w:hAnsi="Verdana"/>
                <w:color w:val="000000" w:themeColor="text1"/>
                <w:sz w:val="22"/>
                <w:szCs w:val="22"/>
                <w:lang w:val="sr-Latn-RS"/>
              </w:rPr>
              <w:t>minuta</w:t>
            </w:r>
            <w:r w:rsidR="00E13BE7" w:rsidRPr="007B2908">
              <w:rPr>
                <w:rFonts w:ascii="Verdana" w:hAnsi="Verdana"/>
                <w:color w:val="000000" w:themeColor="text1"/>
                <w:sz w:val="22"/>
                <w:szCs w:val="22"/>
                <w:lang w:val="sr-Latn-RS"/>
              </w:rPr>
              <w:t xml:space="preserve"> </w:t>
            </w:r>
          </w:p>
        </w:tc>
      </w:tr>
      <w:tr w:rsidR="00E7344B" w:rsidRPr="007B2908" w14:paraId="7C1107AB" w14:textId="77777777" w:rsidTr="00A439ED">
        <w:trPr>
          <w:trHeight w:val="1727"/>
        </w:trPr>
        <w:tc>
          <w:tcPr>
            <w:tcW w:w="9010" w:type="dxa"/>
            <w:gridSpan w:val="3"/>
            <w:vAlign w:val="center"/>
          </w:tcPr>
          <w:p w14:paraId="0B1C3404" w14:textId="0F0DC5B9" w:rsidR="00E7344B" w:rsidRPr="007B2908" w:rsidRDefault="007B2908" w:rsidP="00AE2348">
            <w:pPr>
              <w:spacing w:before="120" w:after="120" w:line="260" w:lineRule="atLeast"/>
              <w:rPr>
                <w:rFonts w:ascii="Verdana" w:hAnsi="Verdana"/>
                <w:b/>
                <w:sz w:val="22"/>
                <w:szCs w:val="22"/>
                <w:lang w:val="sr-Latn-RS"/>
              </w:rPr>
            </w:pPr>
            <w:r>
              <w:rPr>
                <w:rFonts w:ascii="Verdana" w:hAnsi="Verdana"/>
                <w:b/>
                <w:sz w:val="22"/>
                <w:szCs w:val="22"/>
                <w:lang w:val="sr-Latn-RS"/>
              </w:rPr>
              <w:t>Potrebni resursi</w:t>
            </w:r>
            <w:r w:rsidR="00E7344B" w:rsidRPr="007B2908">
              <w:rPr>
                <w:rFonts w:ascii="Verdana" w:hAnsi="Verdana"/>
                <w:b/>
                <w:sz w:val="22"/>
                <w:szCs w:val="22"/>
                <w:lang w:val="sr-Latn-RS"/>
              </w:rPr>
              <w:t>:</w:t>
            </w:r>
            <w:r w:rsidR="00E13BE7" w:rsidRPr="007B2908">
              <w:rPr>
                <w:rFonts w:ascii="Verdana" w:hAnsi="Verdana"/>
                <w:b/>
                <w:sz w:val="22"/>
                <w:szCs w:val="22"/>
                <w:lang w:val="sr-Latn-RS"/>
              </w:rPr>
              <w:t xml:space="preserve"> </w:t>
            </w:r>
          </w:p>
          <w:p w14:paraId="0C58A72F" w14:textId="77777777" w:rsidR="007B2908" w:rsidRPr="007B2908" w:rsidRDefault="007B2908" w:rsidP="00AE2348">
            <w:pPr>
              <w:pStyle w:val="bul1"/>
              <w:numPr>
                <w:ilvl w:val="0"/>
                <w:numId w:val="6"/>
              </w:numPr>
              <w:spacing w:before="120" w:after="120" w:line="260" w:lineRule="atLeast"/>
              <w:rPr>
                <w:rFonts w:ascii="Symbol" w:hAnsi="Symbol"/>
                <w:lang w:val="sr-Latn-RS"/>
              </w:rPr>
            </w:pPr>
            <w:r w:rsidRPr="007B2908">
              <w:rPr>
                <w:lang w:val="sr-Latn-RS"/>
              </w:rPr>
              <w:t>Lični računar</w:t>
            </w:r>
            <w:r w:rsidR="000F7896" w:rsidRPr="007B2908">
              <w:rPr>
                <w:lang w:val="sr-Latn-RS"/>
              </w:rPr>
              <w:t>/</w:t>
            </w:r>
            <w:r w:rsidRPr="007B2908">
              <w:rPr>
                <w:lang w:val="sr-Latn-RS"/>
              </w:rPr>
              <w:t>l</w:t>
            </w:r>
            <w:r w:rsidR="000F7896" w:rsidRPr="007B2908">
              <w:rPr>
                <w:lang w:val="sr-Latn-RS"/>
              </w:rPr>
              <w:t xml:space="preserve">aptop </w:t>
            </w:r>
            <w:r w:rsidRPr="007B2908">
              <w:rPr>
                <w:lang w:val="sr-Latn-RS"/>
              </w:rPr>
              <w:t xml:space="preserve">opremljen softverskim verzijama </w:t>
            </w:r>
            <w:r w:rsidRPr="007B2908">
              <w:rPr>
                <w:rFonts w:eastAsia="Times New Roman"/>
                <w:szCs w:val="22"/>
                <w:lang w:val="sr-Latn-RS" w:eastAsia="en-US"/>
              </w:rPr>
              <w:t>koje su kompatibilne sa pripremljenim materijalom</w:t>
            </w:r>
          </w:p>
          <w:p w14:paraId="2536E1A6" w14:textId="77777777" w:rsidR="007B2908" w:rsidRPr="007B2908" w:rsidRDefault="007B2908" w:rsidP="00AE2348">
            <w:pPr>
              <w:pStyle w:val="bul1"/>
              <w:numPr>
                <w:ilvl w:val="0"/>
                <w:numId w:val="6"/>
              </w:numPr>
              <w:spacing w:before="120" w:after="120" w:line="260" w:lineRule="atLeast"/>
              <w:rPr>
                <w:rFonts w:ascii="Symbol" w:hAnsi="Symbol"/>
                <w:lang w:val="sr-Latn-RS"/>
              </w:rPr>
            </w:pPr>
            <w:r w:rsidRPr="007B2908">
              <w:rPr>
                <w:rFonts w:eastAsia="Times New Roman"/>
                <w:szCs w:val="22"/>
                <w:lang w:val="sr-Latn-RS" w:eastAsia="en-US"/>
              </w:rPr>
              <w:t>Pristup internetu (ako je omogućen)</w:t>
            </w:r>
          </w:p>
          <w:p w14:paraId="5892B6DA" w14:textId="77777777" w:rsidR="007B2908" w:rsidRPr="007B2908" w:rsidRDefault="000F7896" w:rsidP="00AE2348">
            <w:pPr>
              <w:pStyle w:val="bul1"/>
              <w:numPr>
                <w:ilvl w:val="0"/>
                <w:numId w:val="6"/>
              </w:numPr>
              <w:spacing w:before="120" w:after="120" w:line="260" w:lineRule="atLeast"/>
              <w:rPr>
                <w:rFonts w:ascii="Symbol" w:hAnsi="Symbol"/>
                <w:lang w:val="sr-Latn-RS"/>
              </w:rPr>
            </w:pPr>
            <w:r w:rsidRPr="007B2908">
              <w:rPr>
                <w:lang w:val="sr-Latn-RS"/>
              </w:rPr>
              <w:t xml:space="preserve">PowerPoint </w:t>
            </w:r>
            <w:r w:rsidR="007B2908" w:rsidRPr="007B2908">
              <w:rPr>
                <w:lang w:val="sr-Latn-RS"/>
              </w:rPr>
              <w:t>ili neka druga prezentacija</w:t>
            </w:r>
          </w:p>
          <w:p w14:paraId="379B243C" w14:textId="77777777" w:rsidR="007B2908" w:rsidRPr="007B2908" w:rsidRDefault="00AC1380" w:rsidP="00AE2348">
            <w:pPr>
              <w:pStyle w:val="bul1"/>
              <w:numPr>
                <w:ilvl w:val="0"/>
                <w:numId w:val="6"/>
              </w:numPr>
              <w:spacing w:before="120" w:after="120" w:line="260" w:lineRule="atLeast"/>
              <w:rPr>
                <w:rFonts w:ascii="Symbol" w:hAnsi="Symbol"/>
                <w:lang w:val="sr-Latn-RS"/>
              </w:rPr>
            </w:pPr>
            <w:r w:rsidRPr="007B2908">
              <w:rPr>
                <w:lang w:val="sr-Latn-RS"/>
              </w:rPr>
              <w:t>Audio</w:t>
            </w:r>
            <w:r w:rsidR="00FF2976" w:rsidRPr="007B2908">
              <w:rPr>
                <w:lang w:val="sr-Latn-RS"/>
              </w:rPr>
              <w:t xml:space="preserve"> </w:t>
            </w:r>
            <w:r w:rsidR="007B2908">
              <w:rPr>
                <w:lang w:val="sr-Latn-RS"/>
              </w:rPr>
              <w:t>sistem</w:t>
            </w:r>
          </w:p>
          <w:p w14:paraId="14CF9EF0" w14:textId="779C1D9B" w:rsidR="000F7896" w:rsidRPr="007B2908" w:rsidRDefault="007B2908" w:rsidP="00AE2348">
            <w:pPr>
              <w:pStyle w:val="bul1"/>
              <w:numPr>
                <w:ilvl w:val="0"/>
                <w:numId w:val="6"/>
              </w:numPr>
              <w:spacing w:before="120" w:after="120" w:line="260" w:lineRule="atLeast"/>
              <w:rPr>
                <w:rFonts w:ascii="Symbol" w:hAnsi="Symbol"/>
                <w:lang w:val="sr-Latn-RS"/>
              </w:rPr>
            </w:pPr>
            <w:r>
              <w:rPr>
                <w:lang w:val="sr-Latn-RS"/>
              </w:rPr>
              <w:t>Primer Budimpeštanske konvencije</w:t>
            </w:r>
          </w:p>
        </w:tc>
      </w:tr>
      <w:tr w:rsidR="00E7344B" w:rsidRPr="00AE2348" w14:paraId="635F2EFD" w14:textId="77777777" w:rsidTr="00F1574D">
        <w:trPr>
          <w:trHeight w:val="2879"/>
        </w:trPr>
        <w:tc>
          <w:tcPr>
            <w:tcW w:w="9010" w:type="dxa"/>
            <w:gridSpan w:val="3"/>
            <w:vAlign w:val="center"/>
          </w:tcPr>
          <w:p w14:paraId="34602AF3" w14:textId="3D14F262" w:rsidR="00A03CF0" w:rsidRPr="007B2908" w:rsidRDefault="007B2908" w:rsidP="00AE2348">
            <w:pPr>
              <w:spacing w:before="120" w:after="120" w:line="260" w:lineRule="atLeast"/>
              <w:rPr>
                <w:rFonts w:ascii="Verdana" w:hAnsi="Verdana"/>
                <w:b/>
                <w:sz w:val="22"/>
                <w:szCs w:val="22"/>
                <w:lang w:val="sr-Latn-RS"/>
              </w:rPr>
            </w:pPr>
            <w:r>
              <w:rPr>
                <w:rFonts w:ascii="Verdana" w:hAnsi="Verdana"/>
                <w:b/>
                <w:sz w:val="22"/>
                <w:szCs w:val="22"/>
                <w:lang w:val="sr-Latn-RS"/>
              </w:rPr>
              <w:t>Svrha sesije</w:t>
            </w:r>
            <w:r w:rsidR="00A03CF0" w:rsidRPr="007B2908">
              <w:rPr>
                <w:rFonts w:ascii="Verdana" w:hAnsi="Verdana"/>
                <w:b/>
                <w:sz w:val="22"/>
                <w:szCs w:val="22"/>
                <w:lang w:val="sr-Latn-RS"/>
              </w:rPr>
              <w:t xml:space="preserve">:  </w:t>
            </w:r>
          </w:p>
          <w:p w14:paraId="3FE58655" w14:textId="143ACAFA" w:rsidR="00A03CF0" w:rsidRPr="007B2908" w:rsidRDefault="007B2908" w:rsidP="00AE2348">
            <w:pPr>
              <w:spacing w:before="120" w:after="120" w:line="260" w:lineRule="atLeast"/>
              <w:jc w:val="both"/>
              <w:rPr>
                <w:rFonts w:ascii="Verdana" w:hAnsi="Verdana"/>
                <w:i/>
                <w:color w:val="FF0000"/>
                <w:sz w:val="18"/>
                <w:szCs w:val="18"/>
                <w:lang w:val="sr-Latn-RS"/>
              </w:rPr>
            </w:pPr>
            <w:r>
              <w:rPr>
                <w:rFonts w:ascii="Verdana" w:eastAsia="Times New Roman" w:hAnsi="Verdana" w:cs="Times New Roman"/>
                <w:sz w:val="18"/>
                <w:szCs w:val="18"/>
                <w:lang w:val="sr-Latn-RS"/>
              </w:rPr>
              <w:t xml:space="preserve">Svrha ove sesije jeste da se polaznicima iznese opšti pregled Budimpeštanske konvencije. Budimpeštanska konvencija je jedini globalni ugovor o visokotehnološkom kriminalu i elektronskim dokazima koji ima 65 strana ugovornica iz svih delova sveta. Polaznici na ovoj sesiji dobijaju visok nivo opšteg pregleda odredaba Budimpeštanske konvencije, </w:t>
            </w:r>
            <w:r w:rsidR="00C668AC">
              <w:rPr>
                <w:rFonts w:ascii="Verdana" w:eastAsia="Times New Roman" w:hAnsi="Verdana" w:cs="Times New Roman"/>
                <w:sz w:val="18"/>
                <w:szCs w:val="18"/>
                <w:lang w:val="sr-Latn-RS"/>
              </w:rPr>
              <w:t>uključujući one koji se odnose na materijalno pravo, na procesno pravo i odredbe posvećene međunarodnoj saradnji. Objašnjava se na kako Budimpeštanska konvencija ima sve osnovne elemente koji su neophodni za  svaki ugovor o visokotehnološkom kriminalu. Ukazuje se na praktične koristi koje su strane</w:t>
            </w:r>
            <w:r w:rsidR="002A54D3">
              <w:rPr>
                <w:rFonts w:ascii="Verdana" w:eastAsia="Times New Roman" w:hAnsi="Verdana" w:cs="Times New Roman"/>
                <w:sz w:val="18"/>
                <w:szCs w:val="18"/>
                <w:lang w:val="sr-Latn-RS"/>
              </w:rPr>
              <w:t xml:space="preserve"> ugovornice Budimpeštanske konvencije već </w:t>
            </w:r>
            <w:r w:rsidR="007951FD">
              <w:rPr>
                <w:rFonts w:ascii="Verdana" w:eastAsia="Times New Roman" w:hAnsi="Verdana" w:cs="Times New Roman"/>
                <w:sz w:val="18"/>
                <w:szCs w:val="18"/>
                <w:lang w:val="sr-Latn-RS"/>
              </w:rPr>
              <w:t>imale od</w:t>
            </w:r>
            <w:r w:rsidR="002A54D3">
              <w:rPr>
                <w:rFonts w:ascii="Verdana" w:eastAsia="Times New Roman" w:hAnsi="Verdana" w:cs="Times New Roman"/>
                <w:sz w:val="18"/>
                <w:szCs w:val="18"/>
                <w:lang w:val="sr-Latn-RS"/>
              </w:rPr>
              <w:t xml:space="preserve"> nje, uključujući poboljšanje domaćeg zakonodavstva, pojačane istrage na unutrašnjem planu, pravno obavezujući mehanizam međunarodne saradnje, program za izgradnju kapaciteta i pristup mreži međunarodnih stručnjaka u ovoj oblasti. Sesija takođe omogućuje da se odagnaju zablude i nesporazumi i pogrešne predstave o Budimpeštanskoj konvenciji. </w:t>
            </w:r>
          </w:p>
        </w:tc>
      </w:tr>
      <w:tr w:rsidR="00A03CF0" w:rsidRPr="00AE2348" w14:paraId="1B5A80A7" w14:textId="77777777" w:rsidTr="001E7389">
        <w:trPr>
          <w:trHeight w:val="983"/>
        </w:trPr>
        <w:tc>
          <w:tcPr>
            <w:tcW w:w="9010" w:type="dxa"/>
            <w:gridSpan w:val="3"/>
            <w:vAlign w:val="center"/>
          </w:tcPr>
          <w:p w14:paraId="559A7E05" w14:textId="2A2EE1D5" w:rsidR="00A03CF0" w:rsidRPr="007B2908" w:rsidRDefault="002A54D3" w:rsidP="00AE2348">
            <w:pPr>
              <w:spacing w:before="120" w:after="120" w:line="260" w:lineRule="atLeast"/>
              <w:contextualSpacing/>
              <w:rPr>
                <w:rFonts w:ascii="Verdana" w:hAnsi="Verdana"/>
                <w:b/>
                <w:sz w:val="22"/>
                <w:szCs w:val="22"/>
                <w:lang w:val="sr-Latn-RS"/>
              </w:rPr>
            </w:pPr>
            <w:r>
              <w:rPr>
                <w:rFonts w:ascii="Verdana" w:hAnsi="Verdana"/>
                <w:b/>
                <w:sz w:val="22"/>
                <w:szCs w:val="22"/>
                <w:lang w:val="sr-Latn-RS"/>
              </w:rPr>
              <w:t>Ciljevi</w:t>
            </w:r>
            <w:r w:rsidR="00271010" w:rsidRPr="007B2908">
              <w:rPr>
                <w:rFonts w:ascii="Verdana" w:hAnsi="Verdana"/>
                <w:b/>
                <w:sz w:val="22"/>
                <w:szCs w:val="22"/>
                <w:lang w:val="sr-Latn-RS"/>
              </w:rPr>
              <w:t>:</w:t>
            </w:r>
          </w:p>
          <w:p w14:paraId="7552C5F6" w14:textId="13BF5AC6" w:rsidR="000F7896" w:rsidRPr="007B2908" w:rsidRDefault="002A54D3" w:rsidP="00AE2348">
            <w:pPr>
              <w:tabs>
                <w:tab w:val="left" w:pos="426"/>
                <w:tab w:val="left" w:pos="851"/>
              </w:tabs>
              <w:spacing w:before="120" w:after="120" w:line="260" w:lineRule="atLeast"/>
              <w:rPr>
                <w:rFonts w:ascii="Verdana" w:eastAsia="Times New Roman" w:hAnsi="Verdana" w:cs="Times New Roman"/>
                <w:sz w:val="18"/>
                <w:szCs w:val="18"/>
                <w:lang w:val="sr-Latn-RS"/>
              </w:rPr>
            </w:pPr>
            <w:r>
              <w:rPr>
                <w:rFonts w:ascii="Verdana" w:eastAsia="Times New Roman" w:hAnsi="Verdana" w:cs="Times New Roman"/>
                <w:sz w:val="18"/>
                <w:szCs w:val="18"/>
                <w:lang w:val="sr-Latn-RS"/>
              </w:rPr>
              <w:t>Do kraja ove sesije polaznici će biti u stanju da:</w:t>
            </w:r>
          </w:p>
          <w:p w14:paraId="4F862F9D" w14:textId="77B4293B" w:rsidR="002A54D3" w:rsidRDefault="002A54D3" w:rsidP="00AE2348">
            <w:pPr>
              <w:pStyle w:val="bul1"/>
              <w:numPr>
                <w:ilvl w:val="0"/>
                <w:numId w:val="11"/>
              </w:numPr>
              <w:spacing w:before="120" w:after="120" w:line="260" w:lineRule="atLeast"/>
              <w:rPr>
                <w:szCs w:val="18"/>
                <w:lang w:val="sr-Latn-RS"/>
              </w:rPr>
            </w:pPr>
            <w:r w:rsidRPr="002A54D3">
              <w:rPr>
                <w:szCs w:val="18"/>
                <w:lang w:val="sr-Latn-RS"/>
              </w:rPr>
              <w:t>Shvate ob</w:t>
            </w:r>
            <w:r w:rsidR="00670904">
              <w:rPr>
                <w:szCs w:val="18"/>
                <w:lang w:val="sr-Latn-RS"/>
              </w:rPr>
              <w:t>last primene</w:t>
            </w:r>
            <w:r w:rsidRPr="002A54D3">
              <w:rPr>
                <w:szCs w:val="18"/>
                <w:lang w:val="sr-Latn-RS"/>
              </w:rPr>
              <w:t xml:space="preserve"> Budimp</w:t>
            </w:r>
            <w:r>
              <w:rPr>
                <w:szCs w:val="18"/>
                <w:lang w:val="sr-Latn-RS"/>
              </w:rPr>
              <w:t>e</w:t>
            </w:r>
            <w:r w:rsidRPr="002A54D3">
              <w:rPr>
                <w:szCs w:val="18"/>
                <w:lang w:val="sr-Latn-RS"/>
              </w:rPr>
              <w:t>štanske konvencije</w:t>
            </w:r>
          </w:p>
          <w:p w14:paraId="371E8B72" w14:textId="77777777" w:rsidR="002A54D3" w:rsidRDefault="002A54D3" w:rsidP="00AE2348">
            <w:pPr>
              <w:pStyle w:val="bul1"/>
              <w:numPr>
                <w:ilvl w:val="0"/>
                <w:numId w:val="11"/>
              </w:numPr>
              <w:spacing w:before="120" w:after="120" w:line="260" w:lineRule="atLeast"/>
              <w:rPr>
                <w:szCs w:val="18"/>
                <w:lang w:val="sr-Latn-RS"/>
              </w:rPr>
            </w:pPr>
            <w:r w:rsidRPr="002A54D3">
              <w:rPr>
                <w:szCs w:val="18"/>
                <w:lang w:val="sr-Latn-RS"/>
              </w:rPr>
              <w:t>Saznaju koliko  strana ugovornica ima Budimpeštanska konvencija</w:t>
            </w:r>
          </w:p>
          <w:p w14:paraId="476C34AD" w14:textId="77777777" w:rsidR="002A54D3" w:rsidRPr="002A54D3" w:rsidRDefault="002A54D3" w:rsidP="00AE2348">
            <w:pPr>
              <w:pStyle w:val="bul1"/>
              <w:numPr>
                <w:ilvl w:val="0"/>
                <w:numId w:val="11"/>
              </w:numPr>
              <w:spacing w:before="120" w:after="120" w:line="260" w:lineRule="atLeast"/>
              <w:rPr>
                <w:lang w:val="sr-Latn-RS"/>
              </w:rPr>
            </w:pPr>
            <w:r>
              <w:rPr>
                <w:szCs w:val="18"/>
                <w:lang w:val="sr-Latn-RS"/>
              </w:rPr>
              <w:t>Prepoznaju osnove jednog ugovora o visokotehnološkom kriminalu</w:t>
            </w:r>
          </w:p>
          <w:p w14:paraId="61ABEAC5" w14:textId="5B48B627" w:rsidR="001E7389" w:rsidRPr="007B2908" w:rsidRDefault="002A54D3" w:rsidP="00AE2348">
            <w:pPr>
              <w:pStyle w:val="bul1"/>
              <w:numPr>
                <w:ilvl w:val="0"/>
                <w:numId w:val="11"/>
              </w:numPr>
              <w:spacing w:before="120" w:after="120" w:line="260" w:lineRule="atLeast"/>
              <w:rPr>
                <w:lang w:val="sr-Latn-RS"/>
              </w:rPr>
            </w:pPr>
            <w:r>
              <w:rPr>
                <w:szCs w:val="18"/>
                <w:lang w:val="sr-Latn-RS"/>
              </w:rPr>
              <w:t xml:space="preserve">Shvate sve prednosti Budimpeštanske konvencije i uhvate </w:t>
            </w:r>
            <w:r w:rsidR="008C6F4B">
              <w:rPr>
                <w:szCs w:val="18"/>
                <w:lang w:val="sr-Latn-RS"/>
              </w:rPr>
              <w:t xml:space="preserve">se </w:t>
            </w:r>
            <w:r>
              <w:rPr>
                <w:szCs w:val="18"/>
                <w:lang w:val="sr-Latn-RS"/>
              </w:rPr>
              <w:t>ukoštac sa uobičajenim pogrešnim predstavama o Budimpeštanskoj konvenciji</w:t>
            </w:r>
          </w:p>
        </w:tc>
      </w:tr>
      <w:tr w:rsidR="005703B7" w:rsidRPr="00AE2348" w14:paraId="03110757" w14:textId="77777777" w:rsidTr="00E31F52">
        <w:trPr>
          <w:trHeight w:val="58"/>
        </w:trPr>
        <w:tc>
          <w:tcPr>
            <w:tcW w:w="9010" w:type="dxa"/>
            <w:gridSpan w:val="3"/>
            <w:tcBorders>
              <w:bottom w:val="single" w:sz="4" w:space="0" w:color="auto"/>
            </w:tcBorders>
            <w:vAlign w:val="center"/>
          </w:tcPr>
          <w:p w14:paraId="7A064E85" w14:textId="1AD40180" w:rsidR="005703B7" w:rsidRPr="007B2908" w:rsidRDefault="002A54D3" w:rsidP="00AE2348">
            <w:pPr>
              <w:spacing w:before="120" w:after="120" w:line="260" w:lineRule="atLeast"/>
              <w:rPr>
                <w:rFonts w:ascii="Verdana" w:hAnsi="Verdana"/>
                <w:b/>
                <w:color w:val="000000" w:themeColor="text1"/>
                <w:sz w:val="22"/>
                <w:szCs w:val="22"/>
                <w:lang w:val="sr-Latn-RS"/>
              </w:rPr>
            </w:pPr>
            <w:r>
              <w:rPr>
                <w:rFonts w:ascii="Verdana" w:hAnsi="Verdana"/>
                <w:b/>
                <w:color w:val="000000" w:themeColor="text1"/>
                <w:sz w:val="22"/>
                <w:szCs w:val="22"/>
                <w:lang w:val="sr-Latn-RS"/>
              </w:rPr>
              <w:t>Uputstvo za trenera</w:t>
            </w:r>
          </w:p>
          <w:p w14:paraId="6C57E5B2" w14:textId="77777777" w:rsidR="00EA3479" w:rsidRDefault="00EA3479" w:rsidP="00AE2348">
            <w:pPr>
              <w:spacing w:before="120" w:after="120" w:line="260" w:lineRule="atLeast"/>
              <w:jc w:val="both"/>
              <w:rPr>
                <w:rFonts w:ascii="Verdana" w:hAnsi="Verdana"/>
                <w:color w:val="000000" w:themeColor="text1"/>
                <w:sz w:val="18"/>
                <w:szCs w:val="18"/>
                <w:lang w:val="sr-Latn-RS"/>
              </w:rPr>
            </w:pPr>
            <w:r>
              <w:rPr>
                <w:rFonts w:ascii="Verdana" w:hAnsi="Verdana"/>
                <w:color w:val="000000" w:themeColor="text1"/>
                <w:sz w:val="18"/>
                <w:szCs w:val="18"/>
                <w:lang w:val="sr-Latn-RS"/>
              </w:rPr>
              <w:t xml:space="preserve">Ova sesija je novi dodatak uvodnom kursu pravosudne obuke Saveta Evrope. </w:t>
            </w:r>
          </w:p>
          <w:p w14:paraId="2CB000AA" w14:textId="77777777" w:rsidR="00042402" w:rsidRDefault="00EA3479" w:rsidP="00AE2348">
            <w:pPr>
              <w:spacing w:before="120" w:after="120" w:line="260" w:lineRule="atLeast"/>
              <w:jc w:val="both"/>
              <w:rPr>
                <w:rFonts w:ascii="Verdana" w:hAnsi="Verdana"/>
                <w:color w:val="000000" w:themeColor="text1"/>
                <w:sz w:val="18"/>
                <w:szCs w:val="18"/>
                <w:lang w:val="sr-Latn-RS"/>
              </w:rPr>
            </w:pPr>
            <w:r>
              <w:rPr>
                <w:rFonts w:ascii="Verdana" w:hAnsi="Verdana"/>
                <w:color w:val="000000" w:themeColor="text1"/>
                <w:sz w:val="18"/>
                <w:szCs w:val="18"/>
                <w:lang w:val="sr-Latn-RS"/>
              </w:rPr>
              <w:t xml:space="preserve">Preporučuje se da </w:t>
            </w:r>
            <w:r w:rsidR="00042402">
              <w:rPr>
                <w:rFonts w:ascii="Verdana" w:hAnsi="Verdana"/>
                <w:color w:val="000000" w:themeColor="text1"/>
                <w:sz w:val="18"/>
                <w:szCs w:val="18"/>
                <w:lang w:val="sr-Latn-RS"/>
              </w:rPr>
              <w:t xml:space="preserve">pored ovog nastavnog plana i slajdova trener prouči i izveštaj </w:t>
            </w:r>
            <w:r w:rsidR="00E31F52" w:rsidRPr="007B2908">
              <w:rPr>
                <w:rFonts w:ascii="Verdana" w:hAnsi="Verdana"/>
                <w:color w:val="000000" w:themeColor="text1"/>
                <w:sz w:val="18"/>
                <w:szCs w:val="18"/>
                <w:lang w:val="sr-Latn-RS"/>
              </w:rPr>
              <w:t xml:space="preserve">T-CY </w:t>
            </w:r>
            <w:r w:rsidR="00042402">
              <w:rPr>
                <w:rFonts w:ascii="Verdana" w:hAnsi="Verdana"/>
                <w:color w:val="000000" w:themeColor="text1"/>
                <w:sz w:val="18"/>
                <w:szCs w:val="18"/>
                <w:lang w:val="sr-Latn-RS"/>
              </w:rPr>
              <w:t xml:space="preserve">o </w:t>
            </w:r>
            <w:hyperlink r:id="rId5" w:history="1">
              <w:r w:rsidR="00042402">
                <w:rPr>
                  <w:rStyle w:val="Hyperlink"/>
                  <w:rFonts w:ascii="Verdana" w:hAnsi="Verdana"/>
                  <w:b/>
                  <w:bCs/>
                  <w:sz w:val="18"/>
                  <w:szCs w:val="18"/>
                  <w:lang w:val="sr-Latn-RS"/>
                </w:rPr>
                <w:t>Budimpeštanskoj konvenciji o visokotehnološkom kriminalu: prednosti i uticaj u praksi,</w:t>
              </w:r>
            </w:hyperlink>
            <w:r w:rsidR="00E31F52" w:rsidRPr="007B2908">
              <w:rPr>
                <w:rFonts w:ascii="Verdana" w:hAnsi="Verdana"/>
                <w:color w:val="000000" w:themeColor="text1"/>
                <w:sz w:val="18"/>
                <w:szCs w:val="18"/>
                <w:lang w:val="sr-Latn-RS"/>
              </w:rPr>
              <w:t xml:space="preserve"> </w:t>
            </w:r>
            <w:r w:rsidR="00042402">
              <w:rPr>
                <w:rFonts w:ascii="Verdana" w:hAnsi="Verdana"/>
                <w:color w:val="000000" w:themeColor="text1"/>
                <w:sz w:val="18"/>
                <w:szCs w:val="18"/>
                <w:lang w:val="sr-Latn-RS"/>
              </w:rPr>
              <w:t xml:space="preserve">zato što je to važan deo ove sesije. Ako postoji dodatni interes za to koju su konkretnu korist zemlje imale od Budimpeštanske konvencije trener može da ukaže polaznicima na relevantan deo u izveštaju. </w:t>
            </w:r>
          </w:p>
          <w:p w14:paraId="51D910FF" w14:textId="57E99EEF" w:rsidR="00FF2976" w:rsidRPr="007B2908" w:rsidRDefault="00042402" w:rsidP="00AE2348">
            <w:pPr>
              <w:spacing w:before="120" w:after="120" w:line="260" w:lineRule="atLeast"/>
              <w:jc w:val="both"/>
              <w:rPr>
                <w:rFonts w:ascii="Verdana" w:hAnsi="Verdana"/>
                <w:color w:val="000000" w:themeColor="text1"/>
                <w:sz w:val="18"/>
                <w:szCs w:val="18"/>
                <w:lang w:val="sr-Latn-RS"/>
              </w:rPr>
            </w:pPr>
            <w:r>
              <w:rPr>
                <w:rFonts w:ascii="Verdana" w:hAnsi="Verdana"/>
                <w:color w:val="000000" w:themeColor="text1"/>
                <w:sz w:val="18"/>
                <w:szCs w:val="18"/>
                <w:lang w:val="sr-Latn-RS"/>
              </w:rPr>
              <w:t xml:space="preserve">Budući da je osnovna svrha ove sesije da pruži opšti pregled Budimpeštanske konvencije i da se pozabavi pogrešnim predstavama koje bi polaznici mogli imati u vezi s tim međunarodnopravnim dokumentom i </w:t>
            </w:r>
            <w:r w:rsidR="00670904">
              <w:rPr>
                <w:rFonts w:ascii="Verdana" w:hAnsi="Verdana"/>
                <w:color w:val="000000" w:themeColor="text1"/>
                <w:sz w:val="18"/>
                <w:szCs w:val="18"/>
                <w:lang w:val="sr-Latn-RS"/>
              </w:rPr>
              <w:t xml:space="preserve">oblašću </w:t>
            </w:r>
            <w:r>
              <w:rPr>
                <w:rFonts w:ascii="Verdana" w:hAnsi="Verdana"/>
                <w:color w:val="000000" w:themeColor="text1"/>
                <w:sz w:val="18"/>
                <w:szCs w:val="18"/>
                <w:lang w:val="sr-Latn-RS"/>
              </w:rPr>
              <w:t>njegov</w:t>
            </w:r>
            <w:r w:rsidR="00670904">
              <w:rPr>
                <w:rFonts w:ascii="Verdana" w:hAnsi="Verdana"/>
                <w:color w:val="000000" w:themeColor="text1"/>
                <w:sz w:val="18"/>
                <w:szCs w:val="18"/>
                <w:lang w:val="sr-Latn-RS"/>
              </w:rPr>
              <w:t>e primene</w:t>
            </w:r>
            <w:r>
              <w:rPr>
                <w:rFonts w:ascii="Verdana" w:hAnsi="Verdana"/>
                <w:color w:val="000000" w:themeColor="text1"/>
                <w:sz w:val="18"/>
                <w:szCs w:val="18"/>
                <w:lang w:val="sr-Latn-RS"/>
              </w:rPr>
              <w:t xml:space="preserve">, trener može poželeti da sesiju započne tako što će upitati polaznike šta oni znaju o Budimpeštanskoj konvenciji. To ne samo da će mu omogućiti da izvrši prethodnu procenu, već na osnovu toga moći i na kraju obuke da proceni da li su polaznici naučili nešto novo u vezi sa Budimpeštanskom konvencijom. </w:t>
            </w:r>
          </w:p>
          <w:p w14:paraId="5EFF4BEF" w14:textId="77E65609" w:rsidR="00FF2976" w:rsidRPr="007B2908" w:rsidRDefault="00042402" w:rsidP="00AE2348">
            <w:pPr>
              <w:spacing w:before="120" w:after="120" w:line="260" w:lineRule="atLeast"/>
              <w:jc w:val="both"/>
              <w:rPr>
                <w:rFonts w:ascii="Verdana" w:hAnsi="Verdana"/>
                <w:color w:val="000000" w:themeColor="text1"/>
                <w:sz w:val="18"/>
                <w:szCs w:val="18"/>
                <w:lang w:val="sr-Latn-RS"/>
              </w:rPr>
            </w:pPr>
            <w:r>
              <w:rPr>
                <w:rFonts w:ascii="Verdana" w:hAnsi="Verdana"/>
                <w:color w:val="000000" w:themeColor="text1"/>
                <w:sz w:val="18"/>
                <w:szCs w:val="18"/>
                <w:lang w:val="sr-Latn-RS"/>
              </w:rPr>
              <w:t xml:space="preserve">Kada bude predstavljao odeljak 4. ovog modula, trener bi trebalo da podstakne delegate da se </w:t>
            </w:r>
            <w:r>
              <w:rPr>
                <w:rFonts w:ascii="Verdana" w:hAnsi="Verdana"/>
                <w:color w:val="000000" w:themeColor="text1"/>
                <w:sz w:val="18"/>
                <w:szCs w:val="18"/>
                <w:lang w:val="sr-Latn-RS"/>
              </w:rPr>
              <w:lastRenderedPageBreak/>
              <w:t xml:space="preserve">uključe u diskusiju o mogućim pogrešnim predstavama koje možda i sami imaju o Budimpeštanskoj konvenciji. To će pomoći da sesija zadrži interaktivnost za polaznike a biće korisno i treneru koji će na taj način moći da proceni kojim „mitovima“ treba šire da se pozabavi. </w:t>
            </w:r>
          </w:p>
        </w:tc>
      </w:tr>
      <w:tr w:rsidR="005A4E47" w:rsidRPr="007B290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1B9A8D87" w:rsidR="005A4E47" w:rsidRPr="007B2908" w:rsidRDefault="00E90EB4" w:rsidP="00AE2348">
            <w:pPr>
              <w:spacing w:before="120" w:after="120" w:line="260" w:lineRule="atLeast"/>
              <w:rPr>
                <w:rFonts w:ascii="Verdana" w:hAnsi="Verdana"/>
                <w:b/>
                <w:sz w:val="28"/>
                <w:szCs w:val="28"/>
                <w:lang w:val="sr-Latn-RS"/>
              </w:rPr>
            </w:pPr>
            <w:r>
              <w:rPr>
                <w:rFonts w:ascii="Verdana" w:hAnsi="Verdana"/>
                <w:b/>
                <w:sz w:val="28"/>
                <w:szCs w:val="28"/>
                <w:lang w:val="sr-Latn-RS"/>
              </w:rPr>
              <w:lastRenderedPageBreak/>
              <w:t>Sadržaj lekcije</w:t>
            </w:r>
          </w:p>
        </w:tc>
      </w:tr>
      <w:tr w:rsidR="00F1574D" w:rsidRPr="007B2908" w14:paraId="57CC7AA4" w14:textId="77777777" w:rsidTr="00F1574D">
        <w:trPr>
          <w:trHeight w:val="629"/>
        </w:trPr>
        <w:tc>
          <w:tcPr>
            <w:tcW w:w="1525" w:type="dxa"/>
            <w:shd w:val="clear" w:color="auto" w:fill="D9E2F3" w:themeFill="accent1" w:themeFillTint="33"/>
            <w:vAlign w:val="center"/>
          </w:tcPr>
          <w:p w14:paraId="4538C338" w14:textId="79DF8792" w:rsidR="00D82C18" w:rsidRPr="007B2908" w:rsidRDefault="00E90EB4" w:rsidP="00AE2348">
            <w:pPr>
              <w:spacing w:before="120" w:after="120" w:line="260" w:lineRule="atLeast"/>
              <w:jc w:val="center"/>
              <w:rPr>
                <w:rFonts w:ascii="Verdana" w:hAnsi="Verdana"/>
                <w:b/>
                <w:sz w:val="22"/>
                <w:szCs w:val="22"/>
                <w:lang w:val="sr-Latn-RS"/>
              </w:rPr>
            </w:pPr>
            <w:r>
              <w:rPr>
                <w:rFonts w:ascii="Verdana" w:hAnsi="Verdana"/>
                <w:b/>
                <w:sz w:val="22"/>
                <w:szCs w:val="22"/>
                <w:lang w:val="sr-Latn-RS"/>
              </w:rPr>
              <w:t>Broj slajdova</w:t>
            </w:r>
          </w:p>
        </w:tc>
        <w:tc>
          <w:tcPr>
            <w:tcW w:w="7485" w:type="dxa"/>
            <w:gridSpan w:val="2"/>
            <w:shd w:val="clear" w:color="auto" w:fill="D9E2F3" w:themeFill="accent1" w:themeFillTint="33"/>
            <w:vAlign w:val="center"/>
          </w:tcPr>
          <w:p w14:paraId="2DA616FC" w14:textId="71C1CDB3" w:rsidR="00D82C18" w:rsidRPr="007B2908" w:rsidRDefault="00E90EB4" w:rsidP="00AE2348">
            <w:pPr>
              <w:spacing w:before="120" w:after="120" w:line="260" w:lineRule="atLeast"/>
              <w:rPr>
                <w:rFonts w:ascii="Verdana" w:hAnsi="Verdana"/>
                <w:b/>
                <w:sz w:val="22"/>
                <w:szCs w:val="22"/>
                <w:lang w:val="sr-Latn-RS"/>
              </w:rPr>
            </w:pPr>
            <w:r>
              <w:rPr>
                <w:rFonts w:ascii="Verdana" w:hAnsi="Verdana"/>
                <w:b/>
                <w:sz w:val="22"/>
                <w:szCs w:val="22"/>
                <w:lang w:val="sr-Latn-RS"/>
              </w:rPr>
              <w:t>Sadržaj</w:t>
            </w:r>
          </w:p>
        </w:tc>
      </w:tr>
      <w:tr w:rsidR="00F1574D" w:rsidRPr="00AE2348" w14:paraId="11A12D7E" w14:textId="77777777" w:rsidTr="000F04E4">
        <w:trPr>
          <w:trHeight w:val="591"/>
        </w:trPr>
        <w:tc>
          <w:tcPr>
            <w:tcW w:w="1525" w:type="dxa"/>
            <w:vAlign w:val="center"/>
          </w:tcPr>
          <w:p w14:paraId="6475CAB6" w14:textId="4F857242" w:rsidR="00F1574D" w:rsidRDefault="00E90EB4" w:rsidP="00AE2348">
            <w:pPr>
              <w:spacing w:before="120" w:after="120" w:line="260" w:lineRule="atLeast"/>
              <w:jc w:val="center"/>
              <w:rPr>
                <w:rFonts w:ascii="Verdana" w:hAnsi="Verdana"/>
                <w:sz w:val="18"/>
                <w:szCs w:val="18"/>
                <w:lang w:val="sr-Latn-RS"/>
              </w:rPr>
            </w:pPr>
            <w:r>
              <w:rPr>
                <w:rFonts w:ascii="Verdana" w:hAnsi="Verdana"/>
                <w:sz w:val="18"/>
                <w:szCs w:val="18"/>
                <w:lang w:val="sr-Latn-RS"/>
              </w:rPr>
              <w:t xml:space="preserve">Od </w:t>
            </w:r>
            <w:r w:rsidR="003630ED" w:rsidRPr="007B2908">
              <w:rPr>
                <w:rFonts w:ascii="Verdana" w:hAnsi="Verdana"/>
                <w:sz w:val="18"/>
                <w:szCs w:val="18"/>
                <w:lang w:val="sr-Latn-RS"/>
              </w:rPr>
              <w:t>1</w:t>
            </w:r>
            <w:r>
              <w:rPr>
                <w:rFonts w:ascii="Verdana" w:hAnsi="Verdana"/>
                <w:sz w:val="18"/>
                <w:szCs w:val="18"/>
                <w:lang w:val="sr-Latn-RS"/>
              </w:rPr>
              <w:t>. do 4.</w:t>
            </w:r>
          </w:p>
          <w:p w14:paraId="5A89CF27" w14:textId="15EE92F8" w:rsidR="00E90EB4" w:rsidRPr="007B2908" w:rsidRDefault="00E90EB4" w:rsidP="00AE2348">
            <w:pPr>
              <w:spacing w:before="120" w:after="120" w:line="260" w:lineRule="atLeast"/>
              <w:jc w:val="center"/>
              <w:rPr>
                <w:rFonts w:ascii="Verdana" w:hAnsi="Verdana"/>
                <w:sz w:val="18"/>
                <w:szCs w:val="18"/>
                <w:lang w:val="sr-Latn-RS"/>
              </w:rPr>
            </w:pPr>
            <w:r>
              <w:rPr>
                <w:rFonts w:ascii="Verdana" w:hAnsi="Verdana"/>
                <w:sz w:val="18"/>
                <w:szCs w:val="18"/>
                <w:lang w:val="sr-Latn-RS"/>
              </w:rPr>
              <w:t>Obavezni slajdovi</w:t>
            </w:r>
          </w:p>
        </w:tc>
        <w:tc>
          <w:tcPr>
            <w:tcW w:w="7485" w:type="dxa"/>
            <w:gridSpan w:val="2"/>
            <w:vAlign w:val="center"/>
          </w:tcPr>
          <w:p w14:paraId="36345B59" w14:textId="546FF725" w:rsidR="00556D69" w:rsidRPr="007B2908" w:rsidRDefault="00E90EB4" w:rsidP="00AE2348">
            <w:pPr>
              <w:spacing w:before="120" w:after="120" w:line="260" w:lineRule="atLeast"/>
              <w:jc w:val="both"/>
              <w:rPr>
                <w:rFonts w:ascii="Verdana" w:hAnsi="Verdana"/>
                <w:color w:val="000000" w:themeColor="text1"/>
                <w:sz w:val="18"/>
                <w:szCs w:val="18"/>
                <w:lang w:val="sr-Latn-RS"/>
              </w:rPr>
            </w:pPr>
            <w:r>
              <w:rPr>
                <w:rFonts w:ascii="Verdana" w:hAnsi="Verdana"/>
                <w:color w:val="000000" w:themeColor="text1"/>
                <w:sz w:val="18"/>
                <w:szCs w:val="18"/>
                <w:lang w:val="sr-Latn-RS"/>
              </w:rPr>
              <w:t>Početni slajdovi predstavljaju uvod u sesiju i obuhvataju dnevni red i svrhu i ciljeve sesije.</w:t>
            </w:r>
          </w:p>
        </w:tc>
      </w:tr>
      <w:tr w:rsidR="00F1574D" w:rsidRPr="00AE2348" w14:paraId="65F07CB5" w14:textId="77777777" w:rsidTr="00F1574D">
        <w:trPr>
          <w:trHeight w:val="1880"/>
        </w:trPr>
        <w:tc>
          <w:tcPr>
            <w:tcW w:w="1525" w:type="dxa"/>
            <w:vAlign w:val="center"/>
          </w:tcPr>
          <w:p w14:paraId="56AF6365" w14:textId="0B21BE65" w:rsidR="00D82C18" w:rsidRPr="007B2908" w:rsidRDefault="00C70C5C" w:rsidP="00AE2348">
            <w:pPr>
              <w:spacing w:before="120" w:after="120" w:line="260" w:lineRule="atLeast"/>
              <w:jc w:val="center"/>
              <w:rPr>
                <w:rFonts w:ascii="Verdana" w:hAnsi="Verdana"/>
                <w:sz w:val="18"/>
                <w:szCs w:val="18"/>
                <w:lang w:val="sr-Latn-RS"/>
              </w:rPr>
            </w:pPr>
            <w:r w:rsidRPr="007B2908">
              <w:rPr>
                <w:rFonts w:ascii="Verdana" w:hAnsi="Verdana"/>
                <w:sz w:val="18"/>
                <w:szCs w:val="18"/>
                <w:lang w:val="sr-Latn-RS"/>
              </w:rPr>
              <w:t>5</w:t>
            </w:r>
            <w:r w:rsidR="00E90EB4">
              <w:rPr>
                <w:rFonts w:ascii="Verdana" w:hAnsi="Verdana"/>
                <w:sz w:val="18"/>
                <w:szCs w:val="18"/>
                <w:lang w:val="sr-Latn-RS"/>
              </w:rPr>
              <w:t xml:space="preserve">. do </w:t>
            </w:r>
            <w:r w:rsidR="00CB708C" w:rsidRPr="007B2908">
              <w:rPr>
                <w:rFonts w:ascii="Verdana" w:hAnsi="Verdana"/>
                <w:sz w:val="18"/>
                <w:szCs w:val="18"/>
                <w:lang w:val="sr-Latn-RS"/>
              </w:rPr>
              <w:t>12</w:t>
            </w:r>
            <w:r w:rsidR="00E90EB4">
              <w:rPr>
                <w:rFonts w:ascii="Verdana" w:hAnsi="Verdana"/>
                <w:sz w:val="18"/>
                <w:szCs w:val="18"/>
                <w:lang w:val="sr-Latn-RS"/>
              </w:rPr>
              <w:t>.</w:t>
            </w:r>
          </w:p>
          <w:p w14:paraId="6F5AEB2D" w14:textId="28B55B93" w:rsidR="00F1574D" w:rsidRPr="007B2908" w:rsidRDefault="00E90EB4" w:rsidP="00AE2348">
            <w:pPr>
              <w:spacing w:before="120" w:after="120" w:line="260" w:lineRule="atLeast"/>
              <w:jc w:val="center"/>
              <w:rPr>
                <w:rFonts w:ascii="Verdana" w:hAnsi="Verdana"/>
                <w:sz w:val="18"/>
                <w:szCs w:val="18"/>
                <w:lang w:val="sr-Latn-RS"/>
              </w:rPr>
            </w:pPr>
            <w:r>
              <w:rPr>
                <w:rFonts w:ascii="Verdana" w:hAnsi="Verdana"/>
                <w:sz w:val="18"/>
                <w:szCs w:val="18"/>
                <w:lang w:val="sr-Latn-RS"/>
              </w:rPr>
              <w:t xml:space="preserve">Obavezni slajdovi </w:t>
            </w:r>
          </w:p>
        </w:tc>
        <w:tc>
          <w:tcPr>
            <w:tcW w:w="7485" w:type="dxa"/>
            <w:gridSpan w:val="2"/>
            <w:vAlign w:val="center"/>
          </w:tcPr>
          <w:p w14:paraId="0218E59E" w14:textId="382575B6" w:rsidR="00E90EB4" w:rsidRDefault="00E90EB4" w:rsidP="00AE2348">
            <w:pPr>
              <w:pStyle w:val="Subtitle"/>
              <w:spacing w:before="120" w:line="260" w:lineRule="atLeast"/>
              <w:rPr>
                <w:rFonts w:ascii="Verdana" w:eastAsia="Times New Roman" w:hAnsi="Verdana"/>
                <w:szCs w:val="18"/>
                <w:lang w:val="sr-Latn-RS"/>
              </w:rPr>
            </w:pPr>
            <w:r>
              <w:rPr>
                <w:rFonts w:ascii="Verdana" w:eastAsia="Times New Roman" w:hAnsi="Verdana"/>
                <w:szCs w:val="18"/>
                <w:lang w:val="sr-Latn-RS"/>
              </w:rPr>
              <w:t>Ti slajdovi pružaju uvid u ob</w:t>
            </w:r>
            <w:r w:rsidR="00670904">
              <w:rPr>
                <w:rFonts w:ascii="Verdana" w:eastAsia="Times New Roman" w:hAnsi="Verdana"/>
                <w:szCs w:val="18"/>
                <w:lang w:val="sr-Latn-RS"/>
              </w:rPr>
              <w:t>last primene</w:t>
            </w:r>
            <w:r>
              <w:rPr>
                <w:rFonts w:ascii="Verdana" w:eastAsia="Times New Roman" w:hAnsi="Verdana"/>
                <w:szCs w:val="18"/>
                <w:lang w:val="sr-Latn-RS"/>
              </w:rPr>
              <w:t xml:space="preserve"> i domet Budimpeštanske konvencije. </w:t>
            </w:r>
          </w:p>
          <w:p w14:paraId="0D56FA49" w14:textId="0DB7507A" w:rsidR="0062475C" w:rsidRDefault="00E90EB4" w:rsidP="00AE2348">
            <w:pPr>
              <w:pStyle w:val="Subtitle"/>
              <w:spacing w:before="120" w:line="260" w:lineRule="atLeast"/>
              <w:rPr>
                <w:rFonts w:ascii="Verdana" w:eastAsia="Times New Roman" w:hAnsi="Verdana"/>
                <w:szCs w:val="18"/>
                <w:lang w:val="sr-Latn-RS"/>
              </w:rPr>
            </w:pPr>
            <w:r>
              <w:rPr>
                <w:rFonts w:ascii="Verdana" w:eastAsia="Times New Roman" w:hAnsi="Verdana"/>
                <w:szCs w:val="18"/>
                <w:lang w:val="sr-Latn-RS"/>
              </w:rPr>
              <w:t xml:space="preserve">Prvih nekoliko slajdova pokazuju „tri stuba“ Budimpeštanske konvencije (to jest, inkriminisano ponašanje, procesna sredstva i međunarodnu saradnju) što trener treba da pomene  i što će detaljno biti obrazloženo na narednim sesijama. </w:t>
            </w:r>
          </w:p>
          <w:p w14:paraId="649FEA68" w14:textId="1A06362F" w:rsidR="0062475C" w:rsidRPr="007B2908" w:rsidRDefault="00E90EB4" w:rsidP="00AE2348">
            <w:pPr>
              <w:pStyle w:val="Subtitle"/>
              <w:spacing w:before="120" w:line="260" w:lineRule="atLeast"/>
              <w:rPr>
                <w:rFonts w:ascii="Verdana" w:eastAsia="Times New Roman" w:hAnsi="Verdana"/>
                <w:szCs w:val="18"/>
                <w:lang w:val="sr-Latn-RS"/>
              </w:rPr>
            </w:pPr>
            <w:r>
              <w:rPr>
                <w:rFonts w:ascii="Verdana" w:eastAsia="Times New Roman" w:hAnsi="Verdana"/>
                <w:szCs w:val="18"/>
                <w:lang w:val="sr-Latn-RS"/>
              </w:rPr>
              <w:t xml:space="preserve">Sledeći set slajdova bavi se pristupom Saveta Evrope i </w:t>
            </w:r>
            <w:r w:rsidR="00CA5030">
              <w:rPr>
                <w:rFonts w:ascii="Verdana" w:eastAsia="Times New Roman" w:hAnsi="Verdana"/>
                <w:szCs w:val="18"/>
                <w:lang w:val="sr-Latn-RS"/>
              </w:rPr>
              <w:t>različitih</w:t>
            </w:r>
            <w:r>
              <w:rPr>
                <w:rFonts w:ascii="Verdana" w:eastAsia="Times New Roman" w:hAnsi="Verdana"/>
                <w:szCs w:val="18"/>
                <w:lang w:val="sr-Latn-RS"/>
              </w:rPr>
              <w:t xml:space="preserve"> projek</w:t>
            </w:r>
            <w:r w:rsidR="00CA5030">
              <w:rPr>
                <w:rFonts w:ascii="Verdana" w:eastAsia="Times New Roman" w:hAnsi="Verdana"/>
                <w:szCs w:val="18"/>
                <w:lang w:val="sr-Latn-RS"/>
              </w:rPr>
              <w:t>a</w:t>
            </w:r>
            <w:r>
              <w:rPr>
                <w:rFonts w:ascii="Verdana" w:eastAsia="Times New Roman" w:hAnsi="Verdana"/>
                <w:szCs w:val="18"/>
                <w:lang w:val="sr-Latn-RS"/>
              </w:rPr>
              <w:t>t</w:t>
            </w:r>
            <w:r w:rsidR="00CA5030">
              <w:rPr>
                <w:rFonts w:ascii="Verdana" w:eastAsia="Times New Roman" w:hAnsi="Verdana"/>
                <w:szCs w:val="18"/>
                <w:lang w:val="sr-Latn-RS"/>
              </w:rPr>
              <w:t xml:space="preserve">a </w:t>
            </w:r>
            <w:r>
              <w:rPr>
                <w:rFonts w:ascii="Verdana" w:eastAsia="Times New Roman" w:hAnsi="Verdana"/>
                <w:szCs w:val="18"/>
                <w:lang w:val="sr-Latn-RS"/>
              </w:rPr>
              <w:t xml:space="preserve">koji su inicirani otkako je 2014. </w:t>
            </w:r>
            <w:r w:rsidR="00CA5030">
              <w:rPr>
                <w:rFonts w:ascii="Verdana" w:eastAsia="Times New Roman" w:hAnsi="Verdana"/>
                <w:szCs w:val="18"/>
                <w:lang w:val="sr-Latn-RS"/>
              </w:rPr>
              <w:t xml:space="preserve">godine </w:t>
            </w:r>
            <w:r>
              <w:rPr>
                <w:rFonts w:ascii="Verdana" w:eastAsia="Times New Roman" w:hAnsi="Verdana"/>
                <w:szCs w:val="18"/>
                <w:lang w:val="sr-Latn-RS"/>
              </w:rPr>
              <w:t xml:space="preserve">počela da radi </w:t>
            </w:r>
            <w:r w:rsidR="00CA5030">
              <w:rPr>
                <w:rFonts w:ascii="Verdana" w:eastAsia="Times New Roman" w:hAnsi="Verdana"/>
                <w:szCs w:val="18"/>
                <w:lang w:val="sr-Latn-RS"/>
              </w:rPr>
              <w:t xml:space="preserve">Kancelarija za programe za borbu protiv visokotehnološkog kriminala </w:t>
            </w:r>
            <w:r w:rsidR="0062475C" w:rsidRPr="007B2908">
              <w:rPr>
                <w:rFonts w:ascii="Verdana" w:eastAsia="Times New Roman" w:hAnsi="Verdana"/>
                <w:szCs w:val="18"/>
                <w:lang w:val="sr-Latn-RS"/>
              </w:rPr>
              <w:t>(C-PROC).</w:t>
            </w:r>
          </w:p>
        </w:tc>
      </w:tr>
      <w:tr w:rsidR="00F1574D" w:rsidRPr="00AE2348" w14:paraId="15587DD6" w14:textId="77777777" w:rsidTr="00F1574D">
        <w:trPr>
          <w:trHeight w:val="1916"/>
        </w:trPr>
        <w:tc>
          <w:tcPr>
            <w:tcW w:w="1525" w:type="dxa"/>
            <w:vAlign w:val="center"/>
          </w:tcPr>
          <w:p w14:paraId="5EBB803A" w14:textId="7D04D345" w:rsidR="00556D69" w:rsidRPr="007B2908" w:rsidRDefault="0045630D" w:rsidP="00AE2348">
            <w:pPr>
              <w:spacing w:before="120" w:after="120" w:line="260" w:lineRule="atLeast"/>
              <w:jc w:val="center"/>
              <w:rPr>
                <w:rFonts w:ascii="Verdana" w:hAnsi="Verdana"/>
                <w:sz w:val="18"/>
                <w:szCs w:val="18"/>
                <w:lang w:val="sr-Latn-RS"/>
              </w:rPr>
            </w:pPr>
            <w:r w:rsidRPr="007B2908">
              <w:rPr>
                <w:rFonts w:ascii="Verdana" w:hAnsi="Verdana"/>
                <w:sz w:val="18"/>
                <w:szCs w:val="18"/>
                <w:lang w:val="sr-Latn-RS"/>
              </w:rPr>
              <w:t>13</w:t>
            </w:r>
            <w:r w:rsidR="00CA5030">
              <w:rPr>
                <w:rFonts w:ascii="Verdana" w:hAnsi="Verdana"/>
                <w:sz w:val="18"/>
                <w:szCs w:val="18"/>
                <w:lang w:val="sr-Latn-RS"/>
              </w:rPr>
              <w:t>. do 21.</w:t>
            </w:r>
          </w:p>
          <w:p w14:paraId="65C32028" w14:textId="111E6C8C" w:rsidR="00F1574D" w:rsidRPr="007B2908" w:rsidRDefault="00CA5030" w:rsidP="00AE2348">
            <w:pPr>
              <w:spacing w:before="120" w:after="120" w:line="260" w:lineRule="atLeast"/>
              <w:jc w:val="center"/>
              <w:rPr>
                <w:rFonts w:ascii="Verdana" w:hAnsi="Verdana"/>
                <w:sz w:val="18"/>
                <w:szCs w:val="18"/>
                <w:lang w:val="sr-Latn-RS"/>
              </w:rPr>
            </w:pPr>
            <w:r>
              <w:rPr>
                <w:rFonts w:ascii="Verdana" w:hAnsi="Verdana"/>
                <w:sz w:val="18"/>
                <w:szCs w:val="18"/>
                <w:lang w:val="sr-Latn-RS"/>
              </w:rPr>
              <w:t>Važni slajdovi</w:t>
            </w:r>
          </w:p>
        </w:tc>
        <w:tc>
          <w:tcPr>
            <w:tcW w:w="7485" w:type="dxa"/>
            <w:gridSpan w:val="2"/>
            <w:vAlign w:val="center"/>
          </w:tcPr>
          <w:p w14:paraId="22C1BF4D" w14:textId="77777777" w:rsidR="00CA5030" w:rsidRDefault="00CA5030" w:rsidP="00AE2348">
            <w:pPr>
              <w:spacing w:before="120" w:after="120" w:line="260" w:lineRule="atLeast"/>
              <w:jc w:val="both"/>
              <w:rPr>
                <w:rFonts w:ascii="Verdana" w:hAnsi="Verdana"/>
                <w:sz w:val="18"/>
                <w:szCs w:val="18"/>
                <w:lang w:val="sr-Latn-RS"/>
              </w:rPr>
            </w:pPr>
            <w:r>
              <w:rPr>
                <w:rFonts w:ascii="Verdana" w:hAnsi="Verdana"/>
                <w:sz w:val="18"/>
                <w:szCs w:val="18"/>
                <w:lang w:val="sr-Latn-RS"/>
              </w:rPr>
              <w:t xml:space="preserve">Ovi slajdovi obuhvataju osnovne elemente ugovora o visokotehnološkom kriminalu. Njihova svrha je da prenesu polaznicima znanje o tome da je Budimpeštanska konvencija jedini globalni ugovor o visokotehnološkom kriminalu koji sadrži sve osnovne elemente  ugovora iz te oblasti. </w:t>
            </w:r>
          </w:p>
          <w:p w14:paraId="09B58FC0" w14:textId="79CA78E0" w:rsidR="00637AFB" w:rsidRPr="007B2908" w:rsidRDefault="00575B41" w:rsidP="00AE2348">
            <w:pPr>
              <w:spacing w:before="120" w:after="120" w:line="260" w:lineRule="atLeast"/>
              <w:jc w:val="both"/>
              <w:rPr>
                <w:rFonts w:ascii="Verdana" w:hAnsi="Verdana"/>
                <w:sz w:val="18"/>
                <w:szCs w:val="18"/>
                <w:lang w:val="sr-Latn-RS"/>
              </w:rPr>
            </w:pPr>
            <w:r>
              <w:rPr>
                <w:rFonts w:ascii="Verdana" w:hAnsi="Verdana"/>
                <w:sz w:val="18"/>
                <w:szCs w:val="18"/>
                <w:lang w:val="sr-Latn-RS"/>
              </w:rPr>
              <w:t>Prvi set slajdova pruža opšti pregled međunarodn</w:t>
            </w:r>
            <w:r w:rsidR="006F600A">
              <w:rPr>
                <w:rFonts w:ascii="Verdana" w:hAnsi="Verdana"/>
                <w:sz w:val="18"/>
                <w:szCs w:val="18"/>
                <w:lang w:val="sr-Latn-RS"/>
              </w:rPr>
              <w:t xml:space="preserve">og pejzaža, koji obuhvata konvencije </w:t>
            </w:r>
            <w:r w:rsidR="00D669F8" w:rsidRPr="007B2908">
              <w:rPr>
                <w:rFonts w:ascii="Verdana" w:hAnsi="Verdana"/>
                <w:sz w:val="18"/>
                <w:szCs w:val="18"/>
                <w:lang w:val="sr-Latn-RS"/>
              </w:rPr>
              <w:t xml:space="preserve">UNODC (UNCTOC </w:t>
            </w:r>
            <w:r w:rsidR="006F600A">
              <w:rPr>
                <w:rFonts w:ascii="Verdana" w:hAnsi="Verdana"/>
                <w:sz w:val="18"/>
                <w:szCs w:val="18"/>
                <w:lang w:val="sr-Latn-RS"/>
              </w:rPr>
              <w:t xml:space="preserve">i </w:t>
            </w:r>
            <w:r w:rsidR="00D669F8" w:rsidRPr="007B2908">
              <w:rPr>
                <w:rFonts w:ascii="Verdana" w:hAnsi="Verdana"/>
                <w:sz w:val="18"/>
                <w:szCs w:val="18"/>
                <w:lang w:val="sr-Latn-RS"/>
              </w:rPr>
              <w:t xml:space="preserve">UNCAC), </w:t>
            </w:r>
            <w:r w:rsidR="006F600A">
              <w:rPr>
                <w:rFonts w:ascii="Verdana" w:hAnsi="Verdana"/>
                <w:sz w:val="18"/>
                <w:szCs w:val="18"/>
                <w:lang w:val="sr-Latn-RS"/>
              </w:rPr>
              <w:t xml:space="preserve">Šangajsku organizaciju za saradnju (Sporazum o saradnji u oblasti informacione bezbednosti), Komonvelt (model zakona o kompjuterskom kriminalu i kriminalu vezanom za kompjutere i Program Komonvelta koji se odnosi na uzajamnu pomoć u krivičnim predmetima u sklopu komonveltskog Programa iz Hararea), </w:t>
            </w:r>
            <w:r w:rsidR="00D669F8" w:rsidRPr="007B2908">
              <w:rPr>
                <w:rFonts w:ascii="Verdana" w:hAnsi="Verdana"/>
                <w:sz w:val="18"/>
                <w:szCs w:val="18"/>
                <w:lang w:val="sr-Latn-RS"/>
              </w:rPr>
              <w:t xml:space="preserve">ITU </w:t>
            </w:r>
            <w:r w:rsidR="006F600A">
              <w:rPr>
                <w:rFonts w:ascii="Verdana" w:hAnsi="Verdana"/>
                <w:sz w:val="18"/>
                <w:szCs w:val="18"/>
                <w:lang w:val="sr-Latn-RS"/>
              </w:rPr>
              <w:t xml:space="preserve">modele </w:t>
            </w:r>
            <w:r w:rsidR="00D669F8" w:rsidRPr="007B2908">
              <w:rPr>
                <w:rFonts w:ascii="Verdana" w:hAnsi="Verdana"/>
                <w:sz w:val="18"/>
                <w:szCs w:val="18"/>
                <w:lang w:val="sr-Latn-RS"/>
              </w:rPr>
              <w:t xml:space="preserve">(ICT4PAC/SADC/HIPCAR </w:t>
            </w:r>
            <w:r w:rsidR="006F600A">
              <w:rPr>
                <w:rFonts w:ascii="Verdana" w:hAnsi="Verdana"/>
                <w:sz w:val="18"/>
                <w:szCs w:val="18"/>
                <w:lang w:val="sr-Latn-RS"/>
              </w:rPr>
              <w:t>modele zakona</w:t>
            </w:r>
            <w:r w:rsidR="00D669F8" w:rsidRPr="007B2908">
              <w:rPr>
                <w:rFonts w:ascii="Verdana" w:hAnsi="Verdana"/>
                <w:sz w:val="18"/>
                <w:szCs w:val="18"/>
                <w:lang w:val="sr-Latn-RS"/>
              </w:rPr>
              <w:t xml:space="preserve">), </w:t>
            </w:r>
            <w:r w:rsidR="006F600A">
              <w:rPr>
                <w:rFonts w:ascii="Verdana" w:hAnsi="Verdana"/>
                <w:sz w:val="18"/>
                <w:szCs w:val="18"/>
                <w:lang w:val="sr-Latn-RS"/>
              </w:rPr>
              <w:t>Afričku uniju (</w:t>
            </w:r>
            <w:r w:rsidR="00D669F8" w:rsidRPr="007B2908">
              <w:rPr>
                <w:rFonts w:ascii="Verdana" w:hAnsi="Verdana"/>
                <w:sz w:val="18"/>
                <w:szCs w:val="18"/>
                <w:lang w:val="sr-Latn-RS"/>
              </w:rPr>
              <w:t xml:space="preserve">Malabo </w:t>
            </w:r>
            <w:r w:rsidR="006F600A">
              <w:rPr>
                <w:rFonts w:ascii="Verdana" w:hAnsi="Verdana"/>
                <w:sz w:val="18"/>
                <w:szCs w:val="18"/>
                <w:lang w:val="sr-Latn-RS"/>
              </w:rPr>
              <w:t xml:space="preserve">konvenciju o kibernetskoj bezbednosti i zaštiti podataka o ličnosti) i Arapsku ligu (Konvenciju o borbi protiv delikata u oblasti informacione tehnologije). U slajdovima će osim toga biti istaknuto da li su ti instrumenti sveobuhvatni za potrebu borbe protiv visokotehnološkog kriminala i prikupljanja elektronskih dokaza. Trener treba da prođe kroz </w:t>
            </w:r>
            <w:r w:rsidR="00E77A77">
              <w:rPr>
                <w:rFonts w:ascii="Verdana" w:hAnsi="Verdana"/>
                <w:sz w:val="18"/>
                <w:szCs w:val="18"/>
                <w:lang w:val="sr-Latn-RS"/>
              </w:rPr>
              <w:t xml:space="preserve">animirane </w:t>
            </w:r>
            <w:r w:rsidR="006F600A">
              <w:rPr>
                <w:rFonts w:ascii="Verdana" w:hAnsi="Verdana"/>
                <w:sz w:val="18"/>
                <w:szCs w:val="18"/>
                <w:lang w:val="sr-Latn-RS"/>
              </w:rPr>
              <w:t xml:space="preserve">grafikone s „pogačama“. Ako je neki odrezak pogače žut,  to znači da instrument adekvatno pokriva taj element. Ako se na tom </w:t>
            </w:r>
            <w:r w:rsidR="00AE15F8">
              <w:rPr>
                <w:rFonts w:ascii="Verdana" w:hAnsi="Verdana"/>
                <w:sz w:val="18"/>
                <w:szCs w:val="18"/>
                <w:lang w:val="sr-Latn-RS"/>
              </w:rPr>
              <w:t>delu</w:t>
            </w:r>
            <w:r w:rsidR="006F600A">
              <w:rPr>
                <w:rFonts w:ascii="Verdana" w:hAnsi="Verdana"/>
                <w:sz w:val="18"/>
                <w:szCs w:val="18"/>
                <w:lang w:val="sr-Latn-RS"/>
              </w:rPr>
              <w:t xml:space="preserve"> pojavi </w:t>
            </w:r>
            <w:r w:rsidR="00AE15F8">
              <w:rPr>
                <w:rFonts w:ascii="Verdana" w:hAnsi="Verdana"/>
                <w:sz w:val="18"/>
                <w:szCs w:val="18"/>
                <w:lang w:val="sr-Latn-RS"/>
              </w:rPr>
              <w:t>tačkasto</w:t>
            </w:r>
            <w:r w:rsidR="006F600A" w:rsidRPr="00AE15F8">
              <w:rPr>
                <w:rFonts w:ascii="Verdana" w:hAnsi="Verdana"/>
                <w:sz w:val="18"/>
                <w:szCs w:val="18"/>
                <w:lang w:val="sr-Latn-RS"/>
              </w:rPr>
              <w:t xml:space="preserve"> crveno, </w:t>
            </w:r>
            <w:r w:rsidR="00A70D8A" w:rsidRPr="00AE15F8">
              <w:rPr>
                <w:rFonts w:ascii="Verdana" w:hAnsi="Verdana"/>
                <w:sz w:val="18"/>
                <w:szCs w:val="18"/>
                <w:lang w:val="sr-Latn-RS"/>
              </w:rPr>
              <w:t>to</w:t>
            </w:r>
            <w:r w:rsidR="00A70D8A">
              <w:rPr>
                <w:rFonts w:ascii="Verdana" w:hAnsi="Verdana"/>
                <w:sz w:val="18"/>
                <w:szCs w:val="18"/>
                <w:lang w:val="sr-Latn-RS"/>
              </w:rPr>
              <w:t xml:space="preserve"> znači da instrument barem delimično obuhvata taj element. Ako se na slajdu ne pojavi nikakva boja to znači da taj element nije obuhvaćen. Ovde je važno da trener naglasi da svi ti instrumenti mogu uneti dodatnu vrednost i mogu biti komplementarni Budimpeštanskoj konvenciji. </w:t>
            </w:r>
          </w:p>
        </w:tc>
      </w:tr>
      <w:tr w:rsidR="00F1574D" w:rsidRPr="00AE2348" w14:paraId="4F010995" w14:textId="77777777" w:rsidTr="00F1574D">
        <w:trPr>
          <w:trHeight w:val="791"/>
        </w:trPr>
        <w:tc>
          <w:tcPr>
            <w:tcW w:w="1525" w:type="dxa"/>
            <w:vAlign w:val="center"/>
          </w:tcPr>
          <w:p w14:paraId="15E808BA" w14:textId="64DC48C9" w:rsidR="00556D69" w:rsidRPr="007B2908" w:rsidRDefault="0045630D" w:rsidP="00AE2348">
            <w:pPr>
              <w:spacing w:before="120" w:after="120" w:line="260" w:lineRule="atLeast"/>
              <w:jc w:val="center"/>
              <w:rPr>
                <w:rFonts w:ascii="Verdana" w:hAnsi="Verdana"/>
                <w:sz w:val="18"/>
                <w:szCs w:val="18"/>
                <w:lang w:val="sr-Latn-RS"/>
              </w:rPr>
            </w:pPr>
            <w:r w:rsidRPr="007B2908">
              <w:rPr>
                <w:rFonts w:ascii="Verdana" w:hAnsi="Verdana"/>
                <w:sz w:val="18"/>
                <w:szCs w:val="18"/>
                <w:lang w:val="sr-Latn-RS"/>
              </w:rPr>
              <w:t>22</w:t>
            </w:r>
            <w:r w:rsidR="00A70D8A">
              <w:rPr>
                <w:rFonts w:ascii="Verdana" w:hAnsi="Verdana"/>
                <w:sz w:val="18"/>
                <w:szCs w:val="18"/>
                <w:lang w:val="sr-Latn-RS"/>
              </w:rPr>
              <w:t xml:space="preserve">. do </w:t>
            </w:r>
            <w:r w:rsidRPr="007B2908">
              <w:rPr>
                <w:rFonts w:ascii="Verdana" w:hAnsi="Verdana"/>
                <w:sz w:val="18"/>
                <w:szCs w:val="18"/>
                <w:lang w:val="sr-Latn-RS"/>
              </w:rPr>
              <w:t>32</w:t>
            </w:r>
            <w:r w:rsidR="00A70D8A">
              <w:rPr>
                <w:rFonts w:ascii="Verdana" w:hAnsi="Verdana"/>
                <w:sz w:val="18"/>
                <w:szCs w:val="18"/>
                <w:lang w:val="sr-Latn-RS"/>
              </w:rPr>
              <w:t>.</w:t>
            </w:r>
          </w:p>
          <w:p w14:paraId="48504862" w14:textId="734AE87C" w:rsidR="00C70C5C" w:rsidRPr="007B2908" w:rsidRDefault="00A70D8A" w:rsidP="00AE2348">
            <w:pPr>
              <w:spacing w:before="120" w:after="120" w:line="260" w:lineRule="atLeast"/>
              <w:jc w:val="center"/>
              <w:rPr>
                <w:rFonts w:ascii="Verdana" w:hAnsi="Verdana"/>
                <w:sz w:val="18"/>
                <w:szCs w:val="18"/>
                <w:lang w:val="sr-Latn-RS"/>
              </w:rPr>
            </w:pPr>
            <w:r>
              <w:rPr>
                <w:rFonts w:ascii="Verdana" w:hAnsi="Verdana"/>
                <w:sz w:val="18"/>
                <w:szCs w:val="18"/>
                <w:lang w:val="sr-Latn-RS"/>
              </w:rPr>
              <w:t>Obavezni slajdovi</w:t>
            </w:r>
          </w:p>
        </w:tc>
        <w:tc>
          <w:tcPr>
            <w:tcW w:w="7485" w:type="dxa"/>
            <w:gridSpan w:val="2"/>
            <w:vAlign w:val="center"/>
          </w:tcPr>
          <w:p w14:paraId="334D6959" w14:textId="30043C76" w:rsidR="00A70D8A" w:rsidRDefault="00A70D8A" w:rsidP="00AE2348">
            <w:pPr>
              <w:spacing w:before="120" w:after="120" w:line="260" w:lineRule="atLeast"/>
              <w:jc w:val="both"/>
              <w:rPr>
                <w:rFonts w:ascii="Verdana" w:eastAsia="Times New Roman" w:hAnsi="Verdana" w:cstheme="majorBidi"/>
                <w:iCs/>
                <w:color w:val="000000" w:themeColor="text1"/>
                <w:sz w:val="18"/>
                <w:lang w:val="sr-Latn-RS"/>
              </w:rPr>
            </w:pPr>
            <w:r>
              <w:rPr>
                <w:rFonts w:ascii="Verdana" w:eastAsia="Times New Roman" w:hAnsi="Verdana" w:cstheme="majorBidi"/>
                <w:iCs/>
                <w:color w:val="000000" w:themeColor="text1"/>
                <w:sz w:val="18"/>
                <w:lang w:val="sr-Latn-RS"/>
              </w:rPr>
              <w:t xml:space="preserve">Ti slajdovi ističu glavne koristi  od Budimpeštanske konvencije. Oni su sačinjeni na osnovu izveštaja </w:t>
            </w:r>
            <w:r w:rsidR="00D57822" w:rsidRPr="007B2908">
              <w:rPr>
                <w:rFonts w:ascii="Verdana" w:eastAsia="Times New Roman" w:hAnsi="Verdana" w:cstheme="majorBidi"/>
                <w:iCs/>
                <w:color w:val="000000" w:themeColor="text1"/>
                <w:sz w:val="18"/>
                <w:lang w:val="sr-Latn-RS"/>
              </w:rPr>
              <w:t xml:space="preserve">T-CY </w:t>
            </w:r>
            <w:r>
              <w:rPr>
                <w:rFonts w:ascii="Verdana" w:eastAsia="Times New Roman" w:hAnsi="Verdana" w:cstheme="majorBidi"/>
                <w:iCs/>
                <w:color w:val="000000" w:themeColor="text1"/>
                <w:sz w:val="18"/>
                <w:lang w:val="sr-Latn-RS"/>
              </w:rPr>
              <w:t>o koristi</w:t>
            </w:r>
            <w:r w:rsidR="005F439D">
              <w:rPr>
                <w:rFonts w:ascii="Verdana" w:eastAsia="Times New Roman" w:hAnsi="Verdana" w:cstheme="majorBidi"/>
                <w:iCs/>
                <w:color w:val="000000" w:themeColor="text1"/>
                <w:sz w:val="18"/>
                <w:lang w:val="sr-Latn-RS"/>
              </w:rPr>
              <w:t xml:space="preserve">ma od </w:t>
            </w:r>
            <w:r>
              <w:rPr>
                <w:rFonts w:ascii="Verdana" w:eastAsia="Times New Roman" w:hAnsi="Verdana" w:cstheme="majorBidi"/>
                <w:iCs/>
                <w:color w:val="000000" w:themeColor="text1"/>
                <w:sz w:val="18"/>
                <w:lang w:val="sr-Latn-RS"/>
              </w:rPr>
              <w:t>Budimpeštanske konvencije</w:t>
            </w:r>
            <w:r w:rsidR="005F439D">
              <w:rPr>
                <w:rFonts w:ascii="Verdana" w:eastAsia="Times New Roman" w:hAnsi="Verdana" w:cstheme="majorBidi"/>
                <w:iCs/>
                <w:color w:val="000000" w:themeColor="text1"/>
                <w:sz w:val="18"/>
                <w:lang w:val="sr-Latn-RS"/>
              </w:rPr>
              <w:t xml:space="preserve"> i uticaju koji ona ima</w:t>
            </w:r>
            <w:r>
              <w:rPr>
                <w:rFonts w:ascii="Verdana" w:eastAsia="Times New Roman" w:hAnsi="Verdana" w:cstheme="majorBidi"/>
                <w:iCs/>
                <w:color w:val="000000" w:themeColor="text1"/>
                <w:sz w:val="18"/>
                <w:lang w:val="sr-Latn-RS"/>
              </w:rPr>
              <w:t xml:space="preserve">. </w:t>
            </w:r>
          </w:p>
          <w:p w14:paraId="41428299" w14:textId="77777777" w:rsidR="005F439D" w:rsidRDefault="005F439D" w:rsidP="00AE2348">
            <w:pPr>
              <w:spacing w:before="120" w:after="120" w:line="260" w:lineRule="atLeast"/>
              <w:jc w:val="both"/>
              <w:rPr>
                <w:rFonts w:ascii="Verdana" w:eastAsia="Times New Roman" w:hAnsi="Verdana" w:cstheme="majorBidi"/>
                <w:iCs/>
                <w:color w:val="000000" w:themeColor="text1"/>
                <w:sz w:val="18"/>
                <w:lang w:val="sr-Latn-RS"/>
              </w:rPr>
            </w:pPr>
            <w:r>
              <w:rPr>
                <w:rFonts w:ascii="Verdana" w:eastAsia="Times New Roman" w:hAnsi="Verdana" w:cstheme="majorBidi"/>
                <w:iCs/>
                <w:color w:val="000000" w:themeColor="text1"/>
                <w:sz w:val="18"/>
                <w:lang w:val="sr-Latn-RS"/>
              </w:rPr>
              <w:t xml:space="preserve">Na prvom slajdu nalazi se kratak video zapis Saveta Evrope u kome se sažimaju ključne koristi i uticaj koji su naznačeni u tom izveštaju. </w:t>
            </w:r>
          </w:p>
          <w:p w14:paraId="0F50EBDF" w14:textId="77777777" w:rsidR="005F439D" w:rsidRDefault="005F439D" w:rsidP="00AE2348">
            <w:pPr>
              <w:spacing w:before="120" w:after="120" w:line="260" w:lineRule="atLeast"/>
              <w:jc w:val="both"/>
              <w:rPr>
                <w:rFonts w:ascii="Verdana" w:eastAsia="Times New Roman" w:hAnsi="Verdana" w:cstheme="majorBidi"/>
                <w:iCs/>
                <w:color w:val="000000" w:themeColor="text1"/>
                <w:sz w:val="18"/>
                <w:lang w:val="sr-Latn-RS"/>
              </w:rPr>
            </w:pPr>
            <w:r>
              <w:rPr>
                <w:rFonts w:ascii="Verdana" w:eastAsia="Times New Roman" w:hAnsi="Verdana" w:cstheme="majorBidi"/>
                <w:iCs/>
                <w:color w:val="000000" w:themeColor="text1"/>
                <w:sz w:val="18"/>
                <w:lang w:val="sr-Latn-RS"/>
              </w:rPr>
              <w:t xml:space="preserve">Na sledećem skupu slajdova opisano je kako je Budimpeštanska konvencija dovela do poboljšanja domaćeg zakonodavstva, produbljivanja domaćih istraga, olakšavanja međunarodne saradnje i kako je dovela do toga da se  </w:t>
            </w:r>
            <w:r>
              <w:rPr>
                <w:rFonts w:ascii="Verdana" w:eastAsia="Times New Roman" w:hAnsi="Verdana" w:cstheme="majorBidi"/>
                <w:iCs/>
                <w:color w:val="000000" w:themeColor="text1"/>
                <w:sz w:val="18"/>
                <w:lang w:val="sr-Latn-RS"/>
              </w:rPr>
              <w:lastRenderedPageBreak/>
              <w:t xml:space="preserve">pojača izgradnja kapaciteta. Ti slajdovi takođe naglašavaju koliki je domet Budimpeštanske konvencije i pružaju informacije o ukupnom broju država koje su Budimpeštansku konvenciju ratifikovale. </w:t>
            </w:r>
          </w:p>
          <w:p w14:paraId="4AF5B3D7" w14:textId="7AED9F43" w:rsidR="00CB708C" w:rsidRPr="007B2908" w:rsidRDefault="005F439D" w:rsidP="00AE2348">
            <w:pPr>
              <w:spacing w:before="120" w:after="120" w:line="260" w:lineRule="atLeast"/>
              <w:jc w:val="both"/>
              <w:rPr>
                <w:rFonts w:ascii="Verdana" w:eastAsia="Times New Roman" w:hAnsi="Verdana" w:cstheme="majorBidi"/>
                <w:iCs/>
                <w:color w:val="000000" w:themeColor="text1"/>
                <w:sz w:val="18"/>
                <w:lang w:val="sr-Latn-RS"/>
              </w:rPr>
            </w:pPr>
            <w:r>
              <w:rPr>
                <w:rFonts w:ascii="Verdana" w:eastAsia="Times New Roman" w:hAnsi="Verdana" w:cstheme="majorBidi"/>
                <w:iCs/>
                <w:color w:val="000000" w:themeColor="text1"/>
                <w:sz w:val="18"/>
                <w:lang w:val="sr-Latn-RS"/>
              </w:rPr>
              <w:t xml:space="preserve">Trener će možda poželeti da podstakne diskusiju među polaznicima o tome na koji je način Budimpeštanska konvencija koristila njihovoj zemlji, pa će zato zamoliti polaznike da druge upoznaju sa konkretnim primerima slučajeva u kojima je Budimpeštanska konvencija korišćena u vezi sa visokotehnološkim kriminalom i elektronskim dokazima. </w:t>
            </w:r>
          </w:p>
        </w:tc>
      </w:tr>
      <w:tr w:rsidR="00F1574D" w:rsidRPr="00AE2348" w14:paraId="3C4A313A" w14:textId="77777777" w:rsidTr="00F1574D">
        <w:trPr>
          <w:trHeight w:val="890"/>
        </w:trPr>
        <w:tc>
          <w:tcPr>
            <w:tcW w:w="1525" w:type="dxa"/>
            <w:vAlign w:val="center"/>
          </w:tcPr>
          <w:p w14:paraId="1D843CBC" w14:textId="1324FD76" w:rsidR="00556D69" w:rsidRPr="007B2908" w:rsidRDefault="0045630D" w:rsidP="00AE2348">
            <w:pPr>
              <w:spacing w:before="120" w:after="120" w:line="260" w:lineRule="atLeast"/>
              <w:jc w:val="center"/>
              <w:rPr>
                <w:rFonts w:ascii="Verdana" w:hAnsi="Verdana"/>
                <w:sz w:val="18"/>
                <w:szCs w:val="18"/>
                <w:lang w:val="sr-Latn-RS"/>
              </w:rPr>
            </w:pPr>
            <w:r w:rsidRPr="007B2908">
              <w:rPr>
                <w:rFonts w:ascii="Verdana" w:hAnsi="Verdana"/>
                <w:sz w:val="18"/>
                <w:szCs w:val="18"/>
                <w:lang w:val="sr-Latn-RS"/>
              </w:rPr>
              <w:lastRenderedPageBreak/>
              <w:t>33</w:t>
            </w:r>
            <w:r w:rsidR="005F439D">
              <w:rPr>
                <w:rFonts w:ascii="Verdana" w:hAnsi="Verdana"/>
                <w:sz w:val="18"/>
                <w:szCs w:val="18"/>
                <w:lang w:val="sr-Latn-RS"/>
              </w:rPr>
              <w:t xml:space="preserve">. do </w:t>
            </w:r>
            <w:r w:rsidRPr="007B2908">
              <w:rPr>
                <w:rFonts w:ascii="Verdana" w:hAnsi="Verdana"/>
                <w:sz w:val="18"/>
                <w:szCs w:val="18"/>
                <w:lang w:val="sr-Latn-RS"/>
              </w:rPr>
              <w:t>70</w:t>
            </w:r>
            <w:r w:rsidR="005F439D">
              <w:rPr>
                <w:rFonts w:ascii="Verdana" w:hAnsi="Verdana"/>
                <w:sz w:val="18"/>
                <w:szCs w:val="18"/>
                <w:lang w:val="sr-Latn-RS"/>
              </w:rPr>
              <w:t>.</w:t>
            </w:r>
          </w:p>
          <w:p w14:paraId="00098EC4" w14:textId="20B93EE7" w:rsidR="00F1574D" w:rsidRPr="007B2908" w:rsidRDefault="005F439D" w:rsidP="00AE2348">
            <w:pPr>
              <w:spacing w:before="120" w:after="120" w:line="260" w:lineRule="atLeast"/>
              <w:jc w:val="center"/>
              <w:rPr>
                <w:rFonts w:ascii="Verdana" w:hAnsi="Verdana"/>
                <w:sz w:val="18"/>
                <w:szCs w:val="18"/>
                <w:lang w:val="sr-Latn-RS"/>
              </w:rPr>
            </w:pPr>
            <w:r>
              <w:rPr>
                <w:rFonts w:ascii="Verdana" w:hAnsi="Verdana"/>
                <w:sz w:val="18"/>
                <w:szCs w:val="18"/>
                <w:lang w:val="sr-Latn-RS"/>
              </w:rPr>
              <w:t>Obavezni slajdovi</w:t>
            </w:r>
          </w:p>
        </w:tc>
        <w:tc>
          <w:tcPr>
            <w:tcW w:w="7485" w:type="dxa"/>
            <w:gridSpan w:val="2"/>
            <w:vAlign w:val="center"/>
          </w:tcPr>
          <w:p w14:paraId="09B693A1" w14:textId="5BC560F9" w:rsidR="00556D69" w:rsidRPr="007B2908" w:rsidRDefault="008B7F5D" w:rsidP="00AE2348">
            <w:pPr>
              <w:spacing w:before="120" w:after="120" w:line="260" w:lineRule="atLeast"/>
              <w:jc w:val="both"/>
              <w:rPr>
                <w:rFonts w:ascii="Verdana" w:hAnsi="Verdana"/>
                <w:sz w:val="18"/>
                <w:szCs w:val="18"/>
                <w:lang w:val="sr-Latn-RS"/>
              </w:rPr>
            </w:pPr>
            <w:r>
              <w:rPr>
                <w:rFonts w:ascii="Verdana" w:hAnsi="Verdana"/>
                <w:sz w:val="18"/>
                <w:szCs w:val="18"/>
                <w:lang w:val="sr-Latn-RS"/>
              </w:rPr>
              <w:t xml:space="preserve">Na tim slajdovima identifikuju se ključni „mitovi“ ili pogrešne predstave o Budimpeštanskoj konvenciji i nastoji se da se ti mitovi i te pogrešne predstave rasprše. Slajdovi se bave mitovima po kojima je Budimpeštanska konvencija regionalna i evrocentrična, da je zastarela, da ju je sačinio jedan ograničeni broj zemalja, da ona favorizuje zemlje koje poseduju jaku infrastrukturu, da </w:t>
            </w:r>
            <w:r w:rsidR="002027C4">
              <w:rPr>
                <w:rFonts w:ascii="Verdana" w:hAnsi="Verdana"/>
                <w:sz w:val="18"/>
                <w:szCs w:val="18"/>
                <w:lang w:val="sr-Latn-RS"/>
              </w:rPr>
              <w:t xml:space="preserve">drugim zemljama pruža mogućnost neograničenog, automatskog pristupa podacima, da obuhvata uzan dijapazon krivičnih dela, kao i da je to dokument koji se odnosi samo na visokotehnološki kriminal. Kada bude predstavljao odeljak 4. ovog modula trener treba da podstakne polaznike da se uključe u diskusiju o pogrešnim predstavama koje možda imaju o Budimpeštanskoj konvenciji, zato što to može pomoći samom treneru i usmeriti ga na koje konkretno pogrešne predstave treba da se usredsredi. </w:t>
            </w:r>
          </w:p>
        </w:tc>
      </w:tr>
      <w:tr w:rsidR="00F1574D" w:rsidRPr="00AE2348" w14:paraId="35503B3F" w14:textId="77777777" w:rsidTr="00F1574D">
        <w:trPr>
          <w:trHeight w:val="1259"/>
        </w:trPr>
        <w:tc>
          <w:tcPr>
            <w:tcW w:w="1525" w:type="dxa"/>
            <w:vAlign w:val="center"/>
          </w:tcPr>
          <w:p w14:paraId="5A87A945" w14:textId="614CEF87" w:rsidR="00556D69" w:rsidRPr="007B2908" w:rsidRDefault="0045630D" w:rsidP="00AE2348">
            <w:pPr>
              <w:spacing w:before="120" w:after="120" w:line="260" w:lineRule="atLeast"/>
              <w:jc w:val="center"/>
              <w:rPr>
                <w:rFonts w:ascii="Verdana" w:hAnsi="Verdana"/>
                <w:sz w:val="18"/>
                <w:szCs w:val="18"/>
                <w:lang w:val="sr-Latn-RS"/>
              </w:rPr>
            </w:pPr>
            <w:r w:rsidRPr="007B2908">
              <w:rPr>
                <w:rFonts w:ascii="Verdana" w:hAnsi="Verdana"/>
                <w:sz w:val="18"/>
                <w:szCs w:val="18"/>
                <w:lang w:val="sr-Latn-RS"/>
              </w:rPr>
              <w:t>71</w:t>
            </w:r>
            <w:r w:rsidR="002027C4">
              <w:rPr>
                <w:rFonts w:ascii="Verdana" w:hAnsi="Verdana"/>
                <w:sz w:val="18"/>
                <w:szCs w:val="18"/>
                <w:lang w:val="sr-Latn-RS"/>
              </w:rPr>
              <w:t xml:space="preserve">. do </w:t>
            </w:r>
            <w:r w:rsidRPr="007B2908">
              <w:rPr>
                <w:rFonts w:ascii="Verdana" w:hAnsi="Verdana"/>
                <w:sz w:val="18"/>
                <w:szCs w:val="18"/>
                <w:lang w:val="sr-Latn-RS"/>
              </w:rPr>
              <w:t>72</w:t>
            </w:r>
            <w:r w:rsidR="002027C4">
              <w:rPr>
                <w:rFonts w:ascii="Verdana" w:hAnsi="Verdana"/>
                <w:sz w:val="18"/>
                <w:szCs w:val="18"/>
                <w:lang w:val="sr-Latn-RS"/>
              </w:rPr>
              <w:t>.</w:t>
            </w:r>
          </w:p>
          <w:p w14:paraId="5DE9D224" w14:textId="6C088D56" w:rsidR="00F1574D" w:rsidRPr="007B2908" w:rsidRDefault="002027C4" w:rsidP="00AE2348">
            <w:pPr>
              <w:spacing w:before="120" w:after="120" w:line="260" w:lineRule="atLeast"/>
              <w:jc w:val="center"/>
              <w:rPr>
                <w:rFonts w:ascii="Verdana" w:hAnsi="Verdana"/>
                <w:sz w:val="18"/>
                <w:szCs w:val="18"/>
                <w:lang w:val="sr-Latn-RS"/>
              </w:rPr>
            </w:pPr>
            <w:r>
              <w:rPr>
                <w:rFonts w:ascii="Verdana" w:hAnsi="Verdana"/>
                <w:sz w:val="18"/>
                <w:szCs w:val="18"/>
                <w:lang w:val="sr-Latn-RS"/>
              </w:rPr>
              <w:t>Važni slajdovi</w:t>
            </w:r>
          </w:p>
        </w:tc>
        <w:tc>
          <w:tcPr>
            <w:tcW w:w="7485" w:type="dxa"/>
            <w:gridSpan w:val="2"/>
            <w:vAlign w:val="center"/>
          </w:tcPr>
          <w:p w14:paraId="6E2FA816" w14:textId="2E65F410" w:rsidR="00314D32" w:rsidRPr="007B2908" w:rsidRDefault="002027C4" w:rsidP="00AE2348">
            <w:pPr>
              <w:pStyle w:val="Subtitle"/>
              <w:spacing w:before="120" w:line="260" w:lineRule="atLeast"/>
              <w:rPr>
                <w:lang w:val="sr-Latn-RS"/>
              </w:rPr>
            </w:pPr>
            <w:r>
              <w:rPr>
                <w:rFonts w:ascii="Verdana" w:eastAsia="Times New Roman" w:hAnsi="Verdana" w:cs="Times New Roman"/>
                <w:szCs w:val="18"/>
                <w:lang w:val="sr-Latn-RS"/>
              </w:rPr>
              <w:t xml:space="preserve">Trener treba </w:t>
            </w:r>
            <w:r w:rsidR="00AE15F8">
              <w:rPr>
                <w:rFonts w:ascii="Verdana" w:eastAsia="Times New Roman" w:hAnsi="Verdana" w:cs="Times New Roman"/>
                <w:szCs w:val="18"/>
                <w:lang w:val="sr-Latn-RS"/>
              </w:rPr>
              <w:t xml:space="preserve">zajedno </w:t>
            </w:r>
            <w:r>
              <w:rPr>
                <w:rFonts w:ascii="Verdana" w:eastAsia="Times New Roman" w:hAnsi="Verdana" w:cs="Times New Roman"/>
                <w:szCs w:val="18"/>
                <w:lang w:val="sr-Latn-RS"/>
              </w:rPr>
              <w:t xml:space="preserve">s polaznicima </w:t>
            </w:r>
            <w:r w:rsidR="00AE15F8">
              <w:rPr>
                <w:rFonts w:ascii="Verdana" w:eastAsia="Times New Roman" w:hAnsi="Verdana" w:cs="Times New Roman"/>
                <w:szCs w:val="18"/>
                <w:lang w:val="sr-Latn-RS"/>
              </w:rPr>
              <w:t xml:space="preserve">da rekapitulira </w:t>
            </w:r>
            <w:r>
              <w:rPr>
                <w:rFonts w:ascii="Verdana" w:eastAsia="Times New Roman" w:hAnsi="Verdana" w:cs="Times New Roman"/>
                <w:szCs w:val="18"/>
                <w:lang w:val="sr-Latn-RS"/>
              </w:rPr>
              <w:t>ciljeve sesije i da im pruži priliku da postave pitanja u vezi sa materijalom koji je obuhvaćen ovim modulom.</w:t>
            </w:r>
          </w:p>
        </w:tc>
      </w:tr>
      <w:tr w:rsidR="00CB3026" w:rsidRPr="00AE2348" w14:paraId="2ECF09B7" w14:textId="77777777" w:rsidTr="00F1574D">
        <w:trPr>
          <w:trHeight w:val="890"/>
        </w:trPr>
        <w:tc>
          <w:tcPr>
            <w:tcW w:w="9010" w:type="dxa"/>
            <w:gridSpan w:val="3"/>
            <w:vAlign w:val="center"/>
          </w:tcPr>
          <w:p w14:paraId="55ED1F4B" w14:textId="12B1D84A" w:rsidR="00CB3026" w:rsidRPr="007B2908" w:rsidRDefault="002027C4" w:rsidP="00AE2348">
            <w:pPr>
              <w:spacing w:before="120" w:after="120" w:line="260" w:lineRule="atLeast"/>
              <w:rPr>
                <w:rFonts w:ascii="Verdana" w:hAnsi="Verdana"/>
                <w:b/>
                <w:sz w:val="22"/>
                <w:szCs w:val="22"/>
                <w:lang w:val="sr-Latn-RS"/>
              </w:rPr>
            </w:pPr>
            <w:r>
              <w:rPr>
                <w:rFonts w:ascii="Verdana" w:hAnsi="Verdana"/>
                <w:b/>
                <w:sz w:val="22"/>
                <w:szCs w:val="22"/>
                <w:lang w:val="sr-Latn-RS"/>
              </w:rPr>
              <w:t>Praktične vežbe</w:t>
            </w:r>
          </w:p>
          <w:p w14:paraId="04D65D89" w14:textId="73EB63C9" w:rsidR="00CB3026" w:rsidRPr="007B2908" w:rsidRDefault="002027C4" w:rsidP="00AE2348">
            <w:pPr>
              <w:spacing w:before="120" w:after="120" w:line="260" w:lineRule="atLeast"/>
              <w:rPr>
                <w:rFonts w:ascii="Verdana" w:hAnsi="Verdana"/>
                <w:sz w:val="18"/>
                <w:szCs w:val="18"/>
                <w:lang w:val="sr-Latn-RS"/>
              </w:rPr>
            </w:pPr>
            <w:r>
              <w:rPr>
                <w:rFonts w:ascii="Verdana" w:hAnsi="Verdana"/>
                <w:color w:val="000000" w:themeColor="text1"/>
                <w:sz w:val="18"/>
                <w:szCs w:val="18"/>
                <w:lang w:val="sr-Latn-RS"/>
              </w:rPr>
              <w:t>Za ovu lekciju nisu predviđene nikakve praktične vežbe.</w:t>
            </w:r>
          </w:p>
        </w:tc>
      </w:tr>
      <w:tr w:rsidR="00CB3026" w:rsidRPr="00AE2348" w14:paraId="603967A2" w14:textId="77777777" w:rsidTr="00F1574D">
        <w:tc>
          <w:tcPr>
            <w:tcW w:w="9010" w:type="dxa"/>
            <w:gridSpan w:val="3"/>
            <w:vAlign w:val="center"/>
          </w:tcPr>
          <w:p w14:paraId="57B48D1E" w14:textId="05D4A1FA" w:rsidR="00CB3026" w:rsidRPr="007B2908" w:rsidRDefault="002027C4" w:rsidP="00AE2348">
            <w:pPr>
              <w:spacing w:before="120" w:after="120" w:line="260" w:lineRule="atLeast"/>
              <w:rPr>
                <w:rFonts w:ascii="Verdana" w:hAnsi="Verdana"/>
                <w:b/>
                <w:sz w:val="22"/>
                <w:szCs w:val="22"/>
                <w:lang w:val="sr-Latn-RS"/>
              </w:rPr>
            </w:pPr>
            <w:r>
              <w:rPr>
                <w:rFonts w:ascii="Verdana" w:hAnsi="Verdana"/>
                <w:b/>
                <w:sz w:val="22"/>
                <w:szCs w:val="22"/>
                <w:lang w:val="sr-Latn-RS"/>
              </w:rPr>
              <w:t>Procena/kontrola znanja</w:t>
            </w:r>
          </w:p>
          <w:p w14:paraId="4496975B" w14:textId="1D0678A7" w:rsidR="00CB3026" w:rsidRPr="007B2908" w:rsidRDefault="002027C4" w:rsidP="00AE2348">
            <w:pPr>
              <w:spacing w:before="120" w:after="120" w:line="260" w:lineRule="atLeast"/>
              <w:rPr>
                <w:rFonts w:ascii="Verdana" w:hAnsi="Verdana"/>
                <w:sz w:val="18"/>
                <w:szCs w:val="18"/>
                <w:lang w:val="sr-Latn-RS"/>
              </w:rPr>
            </w:pPr>
            <w:r>
              <w:rPr>
                <w:rFonts w:ascii="Verdana" w:hAnsi="Verdana"/>
                <w:color w:val="000000" w:themeColor="text1"/>
                <w:sz w:val="18"/>
                <w:szCs w:val="18"/>
                <w:lang w:val="sr-Latn-RS"/>
              </w:rPr>
              <w:t>Nije planiran nikakav poseban test znanja ili procena  za ovu sesiju.</w:t>
            </w:r>
          </w:p>
        </w:tc>
      </w:tr>
    </w:tbl>
    <w:p w14:paraId="15498912" w14:textId="77777777" w:rsidR="00D82C18" w:rsidRPr="007B2908" w:rsidRDefault="00D82C18">
      <w:pPr>
        <w:rPr>
          <w:rFonts w:ascii="Verdana" w:hAnsi="Verdana"/>
          <w:lang w:val="sr-Latn-RS"/>
        </w:rPr>
      </w:pPr>
    </w:p>
    <w:sectPr w:rsidR="00D82C18" w:rsidRPr="007B290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10"/>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9"/>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42402"/>
    <w:rsid w:val="00051376"/>
    <w:rsid w:val="000C40EE"/>
    <w:rsid w:val="000D0409"/>
    <w:rsid w:val="000F04E4"/>
    <w:rsid w:val="000F7896"/>
    <w:rsid w:val="001D603D"/>
    <w:rsid w:val="001E7389"/>
    <w:rsid w:val="002027C4"/>
    <w:rsid w:val="00271010"/>
    <w:rsid w:val="002A54D3"/>
    <w:rsid w:val="002D52FC"/>
    <w:rsid w:val="002E3ECE"/>
    <w:rsid w:val="002F3B54"/>
    <w:rsid w:val="00314D32"/>
    <w:rsid w:val="0034224C"/>
    <w:rsid w:val="00342639"/>
    <w:rsid w:val="003453F7"/>
    <w:rsid w:val="00354496"/>
    <w:rsid w:val="003630ED"/>
    <w:rsid w:val="00396266"/>
    <w:rsid w:val="003A435F"/>
    <w:rsid w:val="003E2876"/>
    <w:rsid w:val="003F6587"/>
    <w:rsid w:val="00437AF3"/>
    <w:rsid w:val="00450007"/>
    <w:rsid w:val="0045630D"/>
    <w:rsid w:val="00457DD3"/>
    <w:rsid w:val="00473D36"/>
    <w:rsid w:val="004B3289"/>
    <w:rsid w:val="004B7351"/>
    <w:rsid w:val="004F5B82"/>
    <w:rsid w:val="00514FE0"/>
    <w:rsid w:val="00556D69"/>
    <w:rsid w:val="005703B7"/>
    <w:rsid w:val="00575B41"/>
    <w:rsid w:val="005A4E47"/>
    <w:rsid w:val="005D4432"/>
    <w:rsid w:val="005F439D"/>
    <w:rsid w:val="0062475C"/>
    <w:rsid w:val="00637AFB"/>
    <w:rsid w:val="006527C6"/>
    <w:rsid w:val="00670904"/>
    <w:rsid w:val="00671ADF"/>
    <w:rsid w:val="00680264"/>
    <w:rsid w:val="006B0B52"/>
    <w:rsid w:val="006F600A"/>
    <w:rsid w:val="0075334E"/>
    <w:rsid w:val="007678A6"/>
    <w:rsid w:val="007951FD"/>
    <w:rsid w:val="007B1154"/>
    <w:rsid w:val="007B2908"/>
    <w:rsid w:val="007D1B07"/>
    <w:rsid w:val="007E3B3E"/>
    <w:rsid w:val="007F4E03"/>
    <w:rsid w:val="0084446A"/>
    <w:rsid w:val="00844FBF"/>
    <w:rsid w:val="008649AE"/>
    <w:rsid w:val="008817F1"/>
    <w:rsid w:val="00881F77"/>
    <w:rsid w:val="008A4C93"/>
    <w:rsid w:val="008B7F5D"/>
    <w:rsid w:val="008C3900"/>
    <w:rsid w:val="008C6F4B"/>
    <w:rsid w:val="008E3FE7"/>
    <w:rsid w:val="00906F18"/>
    <w:rsid w:val="00951791"/>
    <w:rsid w:val="009B4375"/>
    <w:rsid w:val="009D1DB1"/>
    <w:rsid w:val="009E1A27"/>
    <w:rsid w:val="009E3827"/>
    <w:rsid w:val="009F336B"/>
    <w:rsid w:val="00A03CF0"/>
    <w:rsid w:val="00A342ED"/>
    <w:rsid w:val="00A4110D"/>
    <w:rsid w:val="00A439ED"/>
    <w:rsid w:val="00A55067"/>
    <w:rsid w:val="00A70D8A"/>
    <w:rsid w:val="00A734A5"/>
    <w:rsid w:val="00A76996"/>
    <w:rsid w:val="00A94D8B"/>
    <w:rsid w:val="00AA5742"/>
    <w:rsid w:val="00AC1380"/>
    <w:rsid w:val="00AC45A8"/>
    <w:rsid w:val="00AD7035"/>
    <w:rsid w:val="00AE15F8"/>
    <w:rsid w:val="00AE2348"/>
    <w:rsid w:val="00AF1106"/>
    <w:rsid w:val="00B3608C"/>
    <w:rsid w:val="00BA7368"/>
    <w:rsid w:val="00C115FC"/>
    <w:rsid w:val="00C219CB"/>
    <w:rsid w:val="00C541A2"/>
    <w:rsid w:val="00C668AC"/>
    <w:rsid w:val="00C70C5C"/>
    <w:rsid w:val="00CA5030"/>
    <w:rsid w:val="00CB02C4"/>
    <w:rsid w:val="00CB3026"/>
    <w:rsid w:val="00CB708C"/>
    <w:rsid w:val="00CC1F79"/>
    <w:rsid w:val="00D01990"/>
    <w:rsid w:val="00D57822"/>
    <w:rsid w:val="00D669F8"/>
    <w:rsid w:val="00D82C18"/>
    <w:rsid w:val="00E13BE7"/>
    <w:rsid w:val="00E243AE"/>
    <w:rsid w:val="00E31F52"/>
    <w:rsid w:val="00E7344B"/>
    <w:rsid w:val="00E77A77"/>
    <w:rsid w:val="00E90EB4"/>
    <w:rsid w:val="00E95703"/>
    <w:rsid w:val="00EA3479"/>
    <w:rsid w:val="00EB21C2"/>
    <w:rsid w:val="00F1574D"/>
    <w:rsid w:val="00F504D6"/>
    <w:rsid w:val="00F62A15"/>
    <w:rsid w:val="00F955B5"/>
    <w:rsid w:val="00FA5D5D"/>
    <w:rsid w:val="00FB24E8"/>
    <w:rsid w:val="00FB368A"/>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D0E7FC5-15E8-4E29-A21B-32E20C78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t-cy-2020-16-bc-benefits-rep-provisional/16809ef6a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1177</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CEAUSU Diana</cp:lastModifiedBy>
  <cp:revision>3</cp:revision>
  <dcterms:created xsi:type="dcterms:W3CDTF">2021-04-12T10:33:00Z</dcterms:created>
  <dcterms:modified xsi:type="dcterms:W3CDTF">2021-04-12T11:33:00Z</dcterms:modified>
</cp:coreProperties>
</file>